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2D817C" w14:textId="77777777" w:rsidR="00D77C8A" w:rsidRDefault="00D02EE7" w:rsidP="008E7CFA">
      <w:pPr>
        <w:pStyle w:val="Heading1"/>
        <w:spacing w:line="360" w:lineRule="auto"/>
        <w:jc w:val="center"/>
        <w:rPr>
          <w:sz w:val="32"/>
          <w:szCs w:val="32"/>
        </w:rPr>
      </w:pPr>
      <w:r>
        <w:rPr>
          <w:sz w:val="32"/>
          <w:szCs w:val="32"/>
        </w:rPr>
        <w:t>THE ‘NORMAN HALL’, HORTON COURT</w:t>
      </w:r>
      <w:r w:rsidR="005B7431">
        <w:rPr>
          <w:sz w:val="32"/>
          <w:szCs w:val="32"/>
        </w:rPr>
        <w:t xml:space="preserve">, </w:t>
      </w:r>
      <w:r>
        <w:rPr>
          <w:sz w:val="32"/>
          <w:szCs w:val="32"/>
        </w:rPr>
        <w:t>GLOUCESTERSHIRE</w:t>
      </w:r>
      <w:r w:rsidR="00D177EC">
        <w:rPr>
          <w:sz w:val="32"/>
          <w:szCs w:val="32"/>
        </w:rPr>
        <w:t>: A RE-INTERPRETATION</w:t>
      </w:r>
    </w:p>
    <w:p w14:paraId="21CD5208" w14:textId="77777777" w:rsidR="00952E9A" w:rsidRDefault="00952E9A" w:rsidP="008E7CFA">
      <w:pPr>
        <w:spacing w:line="360" w:lineRule="auto"/>
      </w:pPr>
    </w:p>
    <w:p w14:paraId="5CD0CA88" w14:textId="77777777" w:rsidR="00952E9A" w:rsidRPr="00952E9A" w:rsidRDefault="00952E9A" w:rsidP="008E7CFA">
      <w:pPr>
        <w:spacing w:line="360" w:lineRule="auto"/>
        <w:jc w:val="center"/>
        <w:rPr>
          <w:b/>
          <w:sz w:val="32"/>
          <w:szCs w:val="32"/>
        </w:rPr>
      </w:pPr>
      <w:r w:rsidRPr="00952E9A">
        <w:rPr>
          <w:b/>
          <w:sz w:val="32"/>
          <w:szCs w:val="32"/>
        </w:rPr>
        <w:t>Mark Gardiner and Nick Hill</w:t>
      </w:r>
    </w:p>
    <w:p w14:paraId="27DC9448" w14:textId="77777777" w:rsidR="00313F69" w:rsidRDefault="00313F69" w:rsidP="008E7CFA">
      <w:pPr>
        <w:spacing w:line="360" w:lineRule="auto"/>
      </w:pPr>
    </w:p>
    <w:p w14:paraId="51B7D7B8" w14:textId="4F48D53B" w:rsidR="00942677" w:rsidRPr="00D54359" w:rsidRDefault="00CB2B7E" w:rsidP="008E7CFA">
      <w:pPr>
        <w:spacing w:line="360" w:lineRule="auto"/>
        <w:rPr>
          <w:i/>
          <w:szCs w:val="24"/>
        </w:rPr>
      </w:pPr>
      <w:r w:rsidRPr="00D54359">
        <w:rPr>
          <w:i/>
          <w:szCs w:val="24"/>
        </w:rPr>
        <w:t>The ‘Norman Hall’ at Horton Cou</w:t>
      </w:r>
      <w:r w:rsidR="000161C8" w:rsidRPr="00D54359">
        <w:rPr>
          <w:i/>
          <w:szCs w:val="24"/>
        </w:rPr>
        <w:t>rt in Gloucestershire is an early</w:t>
      </w:r>
      <w:r w:rsidRPr="00D54359">
        <w:rPr>
          <w:i/>
          <w:szCs w:val="24"/>
        </w:rPr>
        <w:t xml:space="preserve"> and unusually complete stone build</w:t>
      </w:r>
      <w:r w:rsidR="000161C8" w:rsidRPr="00D54359">
        <w:rPr>
          <w:i/>
          <w:szCs w:val="24"/>
        </w:rPr>
        <w:t>ing, distinguished</w:t>
      </w:r>
      <w:r w:rsidR="005276EF">
        <w:rPr>
          <w:i/>
          <w:szCs w:val="24"/>
        </w:rPr>
        <w:t>,</w:t>
      </w:r>
      <w:r w:rsidR="000161C8" w:rsidRPr="00D54359">
        <w:rPr>
          <w:i/>
          <w:szCs w:val="24"/>
        </w:rPr>
        <w:t xml:space="preserve"> in particular</w:t>
      </w:r>
      <w:r w:rsidR="005276EF">
        <w:rPr>
          <w:i/>
          <w:szCs w:val="24"/>
        </w:rPr>
        <w:t>,</w:t>
      </w:r>
      <w:r w:rsidR="000161C8" w:rsidRPr="00D54359">
        <w:rPr>
          <w:i/>
          <w:szCs w:val="24"/>
        </w:rPr>
        <w:t xml:space="preserve"> by a pair of fine entrance doorways. </w:t>
      </w:r>
      <w:r w:rsidRPr="00D54359">
        <w:rPr>
          <w:i/>
          <w:szCs w:val="24"/>
        </w:rPr>
        <w:t>It has previously been identif</w:t>
      </w:r>
      <w:r w:rsidR="00444DCA">
        <w:rPr>
          <w:i/>
          <w:szCs w:val="24"/>
        </w:rPr>
        <w:t>ied as a rare example of a 12</w:t>
      </w:r>
      <w:r w:rsidRPr="00D54359">
        <w:rPr>
          <w:i/>
          <w:szCs w:val="24"/>
        </w:rPr>
        <w:t xml:space="preserve">th-century aisle-less domestic hall. Drawing on recent research work for the National Trust, a new study has been undertaken, examining both the building fabric and historical evidence. </w:t>
      </w:r>
      <w:r w:rsidR="000161C8" w:rsidRPr="00D54359">
        <w:rPr>
          <w:i/>
          <w:szCs w:val="24"/>
        </w:rPr>
        <w:t xml:space="preserve">It is concluded that it was originally built not as a hall, but as a free-standing private chapel, to serve the adjoining prebendal manor house. </w:t>
      </w:r>
      <w:r w:rsidR="00E0521C" w:rsidRPr="00D54359">
        <w:rPr>
          <w:i/>
          <w:szCs w:val="24"/>
        </w:rPr>
        <w:t>The implications of this new identification are considered for the interpretation of contemporary houses and chapels.</w:t>
      </w:r>
    </w:p>
    <w:p w14:paraId="7D01C061" w14:textId="77777777" w:rsidR="00CB2B7E" w:rsidRDefault="00CB2B7E" w:rsidP="008E7CFA">
      <w:pPr>
        <w:spacing w:line="360" w:lineRule="auto"/>
        <w:rPr>
          <w:szCs w:val="24"/>
        </w:rPr>
      </w:pPr>
    </w:p>
    <w:p w14:paraId="14DBA19C" w14:textId="77777777" w:rsidR="00942677" w:rsidRDefault="00942677" w:rsidP="008E7CFA">
      <w:pPr>
        <w:spacing w:line="360" w:lineRule="auto"/>
        <w:rPr>
          <w:szCs w:val="24"/>
        </w:rPr>
      </w:pPr>
    </w:p>
    <w:p w14:paraId="48D3A980" w14:textId="77777777" w:rsidR="00942677" w:rsidRPr="00A334B9" w:rsidRDefault="00942677" w:rsidP="008E7CFA">
      <w:pPr>
        <w:spacing w:line="360" w:lineRule="auto"/>
        <w:rPr>
          <w:szCs w:val="24"/>
        </w:rPr>
      </w:pPr>
      <w:r w:rsidRPr="00A334B9">
        <w:rPr>
          <w:szCs w:val="24"/>
        </w:rPr>
        <w:t>INTRODUCTION</w:t>
      </w:r>
    </w:p>
    <w:p w14:paraId="7B1A6671" w14:textId="77777777" w:rsidR="0047449D" w:rsidRDefault="0047449D" w:rsidP="008E7CFA">
      <w:pPr>
        <w:spacing w:line="360" w:lineRule="auto"/>
      </w:pPr>
    </w:p>
    <w:p w14:paraId="3ED9002D" w14:textId="2851F2A2" w:rsidR="00FA4DD7" w:rsidRDefault="0047449D" w:rsidP="008E7CFA">
      <w:pPr>
        <w:spacing w:line="360" w:lineRule="auto"/>
      </w:pPr>
      <w:r>
        <w:t xml:space="preserve">The </w:t>
      </w:r>
      <w:r w:rsidR="00013215">
        <w:t>‘</w:t>
      </w:r>
      <w:r>
        <w:t>Norman Hall</w:t>
      </w:r>
      <w:r w:rsidR="00013215">
        <w:t>’</w:t>
      </w:r>
      <w:r>
        <w:t xml:space="preserve"> at Horton Court </w:t>
      </w:r>
      <w:r w:rsidR="00813997">
        <w:t>poses</w:t>
      </w:r>
      <w:r w:rsidR="00013215">
        <w:t xml:space="preserve"> problems for our interpretation of Romanesque architecture</w:t>
      </w:r>
      <w:r>
        <w:t>.</w:t>
      </w:r>
      <w:r w:rsidR="00013215">
        <w:t xml:space="preserve"> The building does not fit </w:t>
      </w:r>
      <w:r w:rsidR="00891196">
        <w:t>read</w:t>
      </w:r>
      <w:r w:rsidR="00013215">
        <w:t>ily into our understanding of the development of domes</w:t>
      </w:r>
      <w:r w:rsidR="00813997">
        <w:t>ti</w:t>
      </w:r>
      <w:r w:rsidR="00444DCA">
        <w:t>c architecture in the late 12th and 13</w:t>
      </w:r>
      <w:r w:rsidR="00813997">
        <w:t>th centuries.</w:t>
      </w:r>
      <w:r w:rsidR="00D053DC">
        <w:t xml:space="preserve"> </w:t>
      </w:r>
      <w:r w:rsidR="00FA4DD7">
        <w:t>It is, however, a notable survival of a largely complete</w:t>
      </w:r>
      <w:r w:rsidR="00444DCA">
        <w:t>,</w:t>
      </w:r>
      <w:r w:rsidR="00FA4DD7">
        <w:t xml:space="preserve"> </w:t>
      </w:r>
      <w:r w:rsidR="00976C1F">
        <w:t xml:space="preserve">early </w:t>
      </w:r>
      <w:r w:rsidR="00FA4DD7">
        <w:t xml:space="preserve">stone building with clear evidence for </w:t>
      </w:r>
      <w:r w:rsidR="00891196">
        <w:t xml:space="preserve">its plan, and </w:t>
      </w:r>
      <w:r w:rsidR="00FA4DD7">
        <w:t xml:space="preserve">the </w:t>
      </w:r>
      <w:r w:rsidR="00976C1F">
        <w:t xml:space="preserve">form and position </w:t>
      </w:r>
      <w:r w:rsidR="00FA4DD7">
        <w:t xml:space="preserve">of the original windows and doors. </w:t>
      </w:r>
      <w:r w:rsidR="00976C1F">
        <w:t>The present paper seeks to re-examine the sequence of the development of the building</w:t>
      </w:r>
      <w:r w:rsidR="008D54E3">
        <w:t>, particularly of the medieval phases,</w:t>
      </w:r>
      <w:r w:rsidR="00976C1F">
        <w:t xml:space="preserve"> and s</w:t>
      </w:r>
      <w:r w:rsidR="00891196">
        <w:t xml:space="preserve">uggest a new </w:t>
      </w:r>
      <w:r w:rsidR="005A0A16">
        <w:t>interpretation</w:t>
      </w:r>
      <w:r w:rsidR="00976C1F">
        <w:t>.</w:t>
      </w:r>
    </w:p>
    <w:p w14:paraId="666B4362" w14:textId="59A1AD9B" w:rsidR="0047449D" w:rsidRDefault="00976C1F" w:rsidP="008E7CFA">
      <w:pPr>
        <w:spacing w:line="360" w:lineRule="auto"/>
        <w:ind w:firstLine="720"/>
      </w:pPr>
      <w:r>
        <w:t xml:space="preserve">The hall – the building is referred to below as a hall without prejudice to its character – </w:t>
      </w:r>
      <w:r w:rsidR="00D053DC">
        <w:t>stands somew</w:t>
      </w:r>
      <w:r w:rsidR="00275C9F">
        <w:t xml:space="preserve">hat anomalously </w:t>
      </w:r>
      <w:r w:rsidR="00D053DC">
        <w:t>close to the entrance of the parish church</w:t>
      </w:r>
      <w:r w:rsidR="00E87172">
        <w:t xml:space="preserve">. It lies </w:t>
      </w:r>
      <w:r w:rsidR="00D053DC">
        <w:t>between it and th</w:t>
      </w:r>
      <w:r w:rsidR="00110E68">
        <w:t>e m</w:t>
      </w:r>
      <w:r w:rsidR="00741F62">
        <w:t xml:space="preserve">ain entrance </w:t>
      </w:r>
      <w:r w:rsidR="007A73AC">
        <w:t xml:space="preserve">door of </w:t>
      </w:r>
      <w:r w:rsidR="007A73AC" w:rsidRPr="00741F62">
        <w:t xml:space="preserve">the </w:t>
      </w:r>
      <w:r w:rsidR="00444DCA">
        <w:t>late 14</w:t>
      </w:r>
      <w:r w:rsidR="007E2A3B">
        <w:t>th</w:t>
      </w:r>
      <w:r w:rsidR="004E1DF1">
        <w:t>-</w:t>
      </w:r>
      <w:r w:rsidR="007E2A3B">
        <w:t xml:space="preserve"> or early </w:t>
      </w:r>
      <w:r w:rsidR="00444DCA">
        <w:t>15</w:t>
      </w:r>
      <w:r w:rsidR="00D053DC" w:rsidRPr="00741F62">
        <w:t>th-century</w:t>
      </w:r>
      <w:r w:rsidR="00D053DC">
        <w:t xml:space="preserve"> </w:t>
      </w:r>
      <w:r w:rsidR="00110E68">
        <w:t xml:space="preserve">and later </w:t>
      </w:r>
      <w:r w:rsidR="00D053DC">
        <w:t xml:space="preserve">manor </w:t>
      </w:r>
      <w:r w:rsidR="00D053DC" w:rsidRPr="00D90495">
        <w:t>house</w:t>
      </w:r>
      <w:r w:rsidR="00B35F5C" w:rsidRPr="00D90495">
        <w:t xml:space="preserve"> </w:t>
      </w:r>
      <w:r w:rsidR="00444DCA" w:rsidRPr="00D90495">
        <w:t>(</w:t>
      </w:r>
      <w:r w:rsidR="004722F2" w:rsidRPr="00D90495">
        <w:t>Figs</w:t>
      </w:r>
      <w:r w:rsidR="00B35F5C" w:rsidRPr="00D90495">
        <w:t xml:space="preserve"> 1</w:t>
      </w:r>
      <w:r w:rsidR="00EC1CDF" w:rsidRPr="00D90495">
        <w:t>–3</w:t>
      </w:r>
      <w:r w:rsidR="00B35F5C" w:rsidRPr="00D90495">
        <w:t>)</w:t>
      </w:r>
      <w:r w:rsidR="00D053DC" w:rsidRPr="00D90495">
        <w:t>.</w:t>
      </w:r>
      <w:r w:rsidR="00D053DC">
        <w:t xml:space="preserve"> The fine quality of the mouldings of its doorways on both sides has suggested to </w:t>
      </w:r>
      <w:r w:rsidR="00110E68">
        <w:t>a number of scholars</w:t>
      </w:r>
      <w:r w:rsidR="00D053DC">
        <w:t xml:space="preserve"> that it was the predecessor to the </w:t>
      </w:r>
      <w:r w:rsidR="005A0A16">
        <w:t>later manorial buildings</w:t>
      </w:r>
      <w:r w:rsidR="00D053DC">
        <w:t xml:space="preserve"> which it adjoins.</w:t>
      </w:r>
    </w:p>
    <w:p w14:paraId="2719A790" w14:textId="2E901FDA" w:rsidR="00D053DC" w:rsidRDefault="00D053DC" w:rsidP="008E7CFA">
      <w:pPr>
        <w:spacing w:line="360" w:lineRule="auto"/>
        <w:ind w:firstLine="720"/>
      </w:pPr>
      <w:r>
        <w:t xml:space="preserve">The Norman Hall was noted in passing by Turner </w:t>
      </w:r>
      <w:r w:rsidR="00693818">
        <w:t xml:space="preserve">and Parker </w:t>
      </w:r>
      <w:r>
        <w:t>in the</w:t>
      </w:r>
      <w:r w:rsidR="00110E68">
        <w:t>ir</w:t>
      </w:r>
      <w:r>
        <w:t xml:space="preserve"> pioneering </w:t>
      </w:r>
      <w:r w:rsidR="00110E68">
        <w:t>work</w:t>
      </w:r>
      <w:r>
        <w:t xml:space="preserve"> on English medieval domestic architecture, though </w:t>
      </w:r>
      <w:r w:rsidR="005A0A16">
        <w:t xml:space="preserve">it was omitted </w:t>
      </w:r>
      <w:r w:rsidR="005A0A16">
        <w:lastRenderedPageBreak/>
        <w:t xml:space="preserve">from </w:t>
      </w:r>
      <w:r>
        <w:t>the first volum</w:t>
      </w:r>
      <w:r w:rsidR="00976C1F">
        <w:t xml:space="preserve">e </w:t>
      </w:r>
      <w:r w:rsidR="004E1DF1">
        <w:t xml:space="preserve">of their study </w:t>
      </w:r>
      <w:r w:rsidR="005A0A16">
        <w:t xml:space="preserve">which included </w:t>
      </w:r>
      <w:r w:rsidR="00444DCA">
        <w:t>12</w:t>
      </w:r>
      <w:r w:rsidR="005A0A16">
        <w:t>th-century buildings</w:t>
      </w:r>
      <w:r w:rsidR="007A73AC">
        <w:t>,</w:t>
      </w:r>
      <w:r w:rsidR="005A0A16">
        <w:t xml:space="preserve"> </w:t>
      </w:r>
      <w:r w:rsidR="00976C1F">
        <w:t>where it might have found a place</w:t>
      </w:r>
      <w:r w:rsidR="00693818">
        <w:t>. Instead, it received</w:t>
      </w:r>
      <w:r>
        <w:t xml:space="preserve"> a </w:t>
      </w:r>
      <w:r w:rsidR="00444DCA">
        <w:t>mention in the volume on 15th- and 16</w:t>
      </w:r>
      <w:r w:rsidR="007A73AC">
        <w:t>th</w:t>
      </w:r>
      <w:r>
        <w:t>-century buildings</w:t>
      </w:r>
      <w:r w:rsidR="00444DCA">
        <w:t>,</w:t>
      </w:r>
      <w:r w:rsidR="00063909">
        <w:t xml:space="preserve"> </w:t>
      </w:r>
      <w:r w:rsidR="00693818">
        <w:t>where it wa</w:t>
      </w:r>
      <w:r>
        <w:t xml:space="preserve">s briefly considered </w:t>
      </w:r>
      <w:r w:rsidR="00693818">
        <w:t>alongside th</w:t>
      </w:r>
      <w:r w:rsidR="00976C1F">
        <w:t>e later remains at Horto</w:t>
      </w:r>
      <w:r w:rsidR="00110E68">
        <w:t>n.</w:t>
      </w:r>
      <w:r w:rsidR="00444DCA">
        <w:rPr>
          <w:rStyle w:val="FootnoteReference"/>
        </w:rPr>
        <w:footnoteReference w:id="1"/>
      </w:r>
      <w:r w:rsidR="00110E68">
        <w:t xml:space="preserve"> The h</w:t>
      </w:r>
      <w:r w:rsidR="00976C1F">
        <w:t>all was da</w:t>
      </w:r>
      <w:r w:rsidR="00693818">
        <w:t xml:space="preserve">ted there to </w:t>
      </w:r>
      <w:r w:rsidR="00693818">
        <w:rPr>
          <w:i/>
        </w:rPr>
        <w:t xml:space="preserve">temp. </w:t>
      </w:r>
      <w:r w:rsidR="00693818">
        <w:t xml:space="preserve">Henry I, perhaps an error for </w:t>
      </w:r>
      <w:r w:rsidR="003F7A44">
        <w:t>a</w:t>
      </w:r>
      <w:r w:rsidR="00693818">
        <w:t xml:space="preserve"> more </w:t>
      </w:r>
      <w:r w:rsidR="00976C1F">
        <w:t>plausible</w:t>
      </w:r>
      <w:r w:rsidR="00693818">
        <w:t xml:space="preserve"> </w:t>
      </w:r>
      <w:r w:rsidR="00CF0707">
        <w:t>attribution</w:t>
      </w:r>
      <w:r w:rsidR="00693818">
        <w:t xml:space="preserve"> of </w:t>
      </w:r>
      <w:r w:rsidR="00693818">
        <w:rPr>
          <w:i/>
        </w:rPr>
        <w:t xml:space="preserve">temp. </w:t>
      </w:r>
      <w:r w:rsidR="00976C1F">
        <w:t>Henry II</w:t>
      </w:r>
      <w:r w:rsidR="003F7A44">
        <w:t>,</w:t>
      </w:r>
      <w:r w:rsidR="00976C1F">
        <w:t xml:space="preserve"> and certainly t</w:t>
      </w:r>
      <w:r w:rsidR="00444DCA">
        <w:t xml:space="preserve">he latter </w:t>
      </w:r>
      <w:r w:rsidR="00693818">
        <w:t xml:space="preserve">was </w:t>
      </w:r>
      <w:r w:rsidR="001118CF">
        <w:t xml:space="preserve">given in a lecture </w:t>
      </w:r>
      <w:r w:rsidR="003F7A44">
        <w:t xml:space="preserve">to the Royal Archaeological Institute </w:t>
      </w:r>
      <w:r w:rsidR="004E1DF1">
        <w:t xml:space="preserve">by Parker </w:t>
      </w:r>
      <w:r w:rsidR="00976C1F">
        <w:t>shortly after</w:t>
      </w:r>
      <w:r w:rsidR="001118CF">
        <w:t>.</w:t>
      </w:r>
      <w:r w:rsidR="00063909">
        <w:rPr>
          <w:rStyle w:val="FootnoteReference"/>
        </w:rPr>
        <w:footnoteReference w:id="2"/>
      </w:r>
      <w:r w:rsidR="001118CF">
        <w:t xml:space="preserve"> Parker noted that the </w:t>
      </w:r>
      <w:r w:rsidR="004E1DF1">
        <w:t>‘</w:t>
      </w:r>
      <w:r w:rsidR="001118CF">
        <w:t>low end</w:t>
      </w:r>
      <w:r w:rsidR="004E1DF1">
        <w:t>’</w:t>
      </w:r>
      <w:r w:rsidR="001118CF">
        <w:t xml:space="preserve"> of the building </w:t>
      </w:r>
      <w:r w:rsidR="005A0A16">
        <w:t>to the west</w:t>
      </w:r>
      <w:r w:rsidR="00264539">
        <w:t xml:space="preserve"> of the entrance </w:t>
      </w:r>
      <w:r w:rsidR="001118CF">
        <w:t>had been floored over as if to provide a chamber or bedroom above and a parlour below. At the time he was writi</w:t>
      </w:r>
      <w:r w:rsidR="00264539">
        <w:t>ng</w:t>
      </w:r>
      <w:r w:rsidR="00D11DD2">
        <w:t>,</w:t>
      </w:r>
      <w:r w:rsidR="00226640">
        <w:t xml:space="preserve"> in the mid-</w:t>
      </w:r>
      <w:r w:rsidR="00444DCA">
        <w:t>19</w:t>
      </w:r>
      <w:r w:rsidR="00226640">
        <w:t>th century</w:t>
      </w:r>
      <w:r w:rsidR="00264539">
        <w:t>, the whole building had an inserted floor and the earlier doorway to the first floor had been blocked</w:t>
      </w:r>
      <w:r w:rsidR="001118CF">
        <w:t xml:space="preserve">, although the newel staircase remained. It </w:t>
      </w:r>
      <w:r w:rsidR="004E1DF1">
        <w:t xml:space="preserve">was </w:t>
      </w:r>
      <w:r w:rsidR="00E5610E">
        <w:t xml:space="preserve">substantially </w:t>
      </w:r>
      <w:r w:rsidR="004E1DF1">
        <w:t>in this state when drawn by the antiquarian and architect,</w:t>
      </w:r>
      <w:r w:rsidR="00110E68">
        <w:t xml:space="preserve"> </w:t>
      </w:r>
      <w:r w:rsidR="001118CF">
        <w:t>John Buc</w:t>
      </w:r>
      <w:r w:rsidR="00121D70">
        <w:t>kler</w:t>
      </w:r>
      <w:r w:rsidR="00264539">
        <w:t xml:space="preserve"> or his son, John </w:t>
      </w:r>
      <w:proofErr w:type="spellStart"/>
      <w:r w:rsidR="00264539">
        <w:t>Chessell</w:t>
      </w:r>
      <w:proofErr w:type="spellEnd"/>
      <w:r w:rsidR="00264539">
        <w:t xml:space="preserve"> Buckler</w:t>
      </w:r>
      <w:r w:rsidR="006D4E1A">
        <w:t xml:space="preserve"> – the styles of the two are very similar</w:t>
      </w:r>
      <w:r w:rsidR="00121D70">
        <w:t>.</w:t>
      </w:r>
      <w:r w:rsidR="005A0A16">
        <w:t xml:space="preserve"> </w:t>
      </w:r>
      <w:r w:rsidR="006D4E1A">
        <w:t>One or the other</w:t>
      </w:r>
      <w:r w:rsidR="005A0A16">
        <w:t xml:space="preserve"> sketched a narrow vice in the sou</w:t>
      </w:r>
      <w:r w:rsidR="00063909">
        <w:t>th-west corner of the building</w:t>
      </w:r>
      <w:r w:rsidR="00E5610E">
        <w:t>, though the doorway at its base may have still have been open at that stage</w:t>
      </w:r>
      <w:r w:rsidR="005A0A16">
        <w:t>.</w:t>
      </w:r>
      <w:r w:rsidR="00063909">
        <w:rPr>
          <w:rStyle w:val="FootnoteReference"/>
        </w:rPr>
        <w:footnoteReference w:id="3"/>
      </w:r>
    </w:p>
    <w:p w14:paraId="4C835F6E" w14:textId="4C6BF82F" w:rsidR="00121D70" w:rsidRDefault="00264539" w:rsidP="008E7CFA">
      <w:pPr>
        <w:spacing w:line="360" w:lineRule="auto"/>
        <w:ind w:firstLine="720"/>
      </w:pPr>
      <w:r>
        <w:t xml:space="preserve">A plan and brief description of the building was published </w:t>
      </w:r>
      <w:r w:rsidR="002822D0">
        <w:t>as a result of a further visit of the Royal Ar</w:t>
      </w:r>
      <w:r w:rsidR="00063909">
        <w:t>chaeological Institute in 1930</w:t>
      </w:r>
      <w:r w:rsidR="002822D0">
        <w:t>.</w:t>
      </w:r>
      <w:r w:rsidR="00063909">
        <w:rPr>
          <w:rStyle w:val="FootnoteReference"/>
        </w:rPr>
        <w:footnoteReference w:id="4"/>
      </w:r>
      <w:r w:rsidR="002822D0">
        <w:t xml:space="preserve"> </w:t>
      </w:r>
      <w:r w:rsidR="00121D70">
        <w:t xml:space="preserve">More recent understanding of the building is due to the work of Margaret Wood who included Horton </w:t>
      </w:r>
      <w:r w:rsidR="00226640">
        <w:t>in</w:t>
      </w:r>
      <w:r w:rsidR="00121D70">
        <w:t xml:space="preserve"> her survey of Norman domestic architecture</w:t>
      </w:r>
      <w:r w:rsidR="00587B10">
        <w:t xml:space="preserve">, </w:t>
      </w:r>
      <w:r>
        <w:t>da</w:t>
      </w:r>
      <w:r w:rsidR="00587B10">
        <w:t xml:space="preserve">ting it to </w:t>
      </w:r>
      <w:r w:rsidR="00587B10">
        <w:rPr>
          <w:i/>
        </w:rPr>
        <w:t>c.</w:t>
      </w:r>
      <w:r w:rsidR="00587B10">
        <w:t xml:space="preserve">1140. She specifically dismissed the idea that it might be </w:t>
      </w:r>
      <w:r w:rsidR="00D64863">
        <w:t xml:space="preserve">a </w:t>
      </w:r>
      <w:r w:rsidR="00587B10">
        <w:t>chapel</w:t>
      </w:r>
      <w:r w:rsidR="00226640">
        <w:t>,</w:t>
      </w:r>
      <w:r w:rsidR="00587B10">
        <w:t xml:space="preserve"> arguing that those who considered it such displayed ‘a certain timidity to recognise</w:t>
      </w:r>
      <w:r>
        <w:t xml:space="preserve"> a Norman </w:t>
      </w:r>
      <w:r w:rsidR="00063909">
        <w:t>house as such’</w:t>
      </w:r>
      <w:r w:rsidR="00587B10">
        <w:t>.</w:t>
      </w:r>
      <w:r w:rsidR="00063909">
        <w:rPr>
          <w:rStyle w:val="FootnoteReference"/>
        </w:rPr>
        <w:footnoteReference w:id="5"/>
      </w:r>
      <w:r w:rsidR="00587B10">
        <w:t xml:space="preserve"> </w:t>
      </w:r>
      <w:r>
        <w:t>She concluded that it was ‘an aisleless ground-floor hall, and was proba</w:t>
      </w:r>
      <w:r w:rsidR="00063909">
        <w:t>bly the prebendal manor-house’</w:t>
      </w:r>
      <w:r>
        <w:t>.</w:t>
      </w:r>
      <w:r w:rsidR="00063909">
        <w:rPr>
          <w:rStyle w:val="FootnoteReference"/>
        </w:rPr>
        <w:footnoteReference w:id="6"/>
      </w:r>
      <w:r>
        <w:t xml:space="preserve"> </w:t>
      </w:r>
      <w:r w:rsidR="002822D0">
        <w:t xml:space="preserve">The conservation of the buildings of Horton Court by the National </w:t>
      </w:r>
      <w:r w:rsidR="00110E68">
        <w:t>Trust, who now own the building</w:t>
      </w:r>
      <w:r w:rsidR="004E1DF1">
        <w:t>,</w:t>
      </w:r>
      <w:r w:rsidR="002822D0">
        <w:t xml:space="preserve"> provided the </w:t>
      </w:r>
      <w:r w:rsidR="00226640">
        <w:t>opportunity</w:t>
      </w:r>
      <w:r w:rsidR="002822D0">
        <w:t xml:space="preserve"> for a rather more </w:t>
      </w:r>
      <w:r w:rsidR="004E1DF1">
        <w:lastRenderedPageBreak/>
        <w:t>thorough</w:t>
      </w:r>
      <w:r w:rsidR="002822D0">
        <w:t xml:space="preserve"> study A</w:t>
      </w:r>
      <w:r w:rsidR="00587B10">
        <w:t xml:space="preserve"> report </w:t>
      </w:r>
      <w:r w:rsidR="002822D0">
        <w:t xml:space="preserve">was </w:t>
      </w:r>
      <w:r w:rsidR="00587B10">
        <w:t>commissioned from Jane and Tony Harcourt</w:t>
      </w:r>
      <w:r w:rsidR="002822D0">
        <w:t>,</w:t>
      </w:r>
      <w:r w:rsidR="00587B10">
        <w:t xml:space="preserve"> </w:t>
      </w:r>
      <w:r w:rsidR="002822D0">
        <w:t>which was</w:t>
      </w:r>
      <w:r w:rsidR="00587B10">
        <w:t xml:space="preserve"> the first systematic </w:t>
      </w:r>
      <w:r w:rsidR="004E1DF1">
        <w:t>examination of</w:t>
      </w:r>
      <w:r w:rsidR="00587B10">
        <w:t xml:space="preserve"> the fabric of the building</w:t>
      </w:r>
      <w:r w:rsidR="002822D0">
        <w:t>,</w:t>
      </w:r>
      <w:r w:rsidR="00587B10">
        <w:t xml:space="preserve"> and </w:t>
      </w:r>
      <w:r w:rsidR="00226640">
        <w:t>mark</w:t>
      </w:r>
      <w:r w:rsidR="00587B10">
        <w:t xml:space="preserve">ed a very substantial step forward in </w:t>
      </w:r>
      <w:r w:rsidR="005A0A16">
        <w:t>its</w:t>
      </w:r>
      <w:r w:rsidR="00587B10">
        <w:t xml:space="preserve"> </w:t>
      </w:r>
      <w:r w:rsidR="002822D0">
        <w:t>interpretation.</w:t>
      </w:r>
      <w:r w:rsidR="007A73AC">
        <w:rPr>
          <w:rStyle w:val="FootnoteReference"/>
        </w:rPr>
        <w:footnoteReference w:id="7"/>
      </w:r>
      <w:r w:rsidR="002822D0">
        <w:t xml:space="preserve"> Their descriptive and analytical survey was supplemented by dendrochronology to provide precise dates for building works.</w:t>
      </w:r>
      <w:r w:rsidR="00BF730B">
        <w:t xml:space="preserve"> </w:t>
      </w:r>
      <w:r w:rsidR="00587B10">
        <w:t>Th</w:t>
      </w:r>
      <w:r w:rsidR="002822D0">
        <w:t xml:space="preserve">e present study </w:t>
      </w:r>
      <w:r w:rsidR="00275C9F">
        <w:t>draws</w:t>
      </w:r>
      <w:r w:rsidR="002822D0">
        <w:t xml:space="preserve"> upon their</w:t>
      </w:r>
      <w:r w:rsidR="00587B10">
        <w:t xml:space="preserve"> work. We have </w:t>
      </w:r>
      <w:r w:rsidR="002822D0">
        <w:t>re-</w:t>
      </w:r>
      <w:r w:rsidR="00587B10">
        <w:t>analysed the standing fabric</w:t>
      </w:r>
      <w:r w:rsidR="00275C9F">
        <w:t xml:space="preserve"> of the Norman Hall </w:t>
      </w:r>
      <w:r w:rsidR="00587B10">
        <w:t>in a new survey which has been supported by a laser scan of the structure</w:t>
      </w:r>
      <w:r w:rsidR="00244F02">
        <w:t xml:space="preserve"> and the production of orthographic elevations</w:t>
      </w:r>
      <w:r w:rsidR="00587B10">
        <w:t>. We have also reappraised the historic records of the building.</w:t>
      </w:r>
    </w:p>
    <w:p w14:paraId="41103E44" w14:textId="6DF70473" w:rsidR="0047449D" w:rsidRDefault="00E5610E" w:rsidP="008E7CFA">
      <w:pPr>
        <w:spacing w:line="360" w:lineRule="auto"/>
        <w:ind w:firstLine="720"/>
      </w:pPr>
      <w:r>
        <w:t>Recent</w:t>
      </w:r>
      <w:r w:rsidR="001F40A7">
        <w:t xml:space="preserve"> understanding of the Norman Hall is summarized in the Natio</w:t>
      </w:r>
      <w:r w:rsidR="00063909">
        <w:t>nal Trust leaflet for the site</w:t>
      </w:r>
      <w:r w:rsidR="001F40A7">
        <w:t>.</w:t>
      </w:r>
      <w:r w:rsidR="00063909">
        <w:rPr>
          <w:rStyle w:val="FootnoteReference"/>
        </w:rPr>
        <w:footnoteReference w:id="8"/>
      </w:r>
      <w:r w:rsidR="001F40A7">
        <w:t xml:space="preserve"> It describes it as ‘the main structure of the oldest rectory in England’, but continues rather more cautiously to say that ‘it substantially resembles the few surviving ‘manor’ houses of late Norman date’.</w:t>
      </w:r>
      <w:r w:rsidR="00DD5347">
        <w:t xml:space="preserve"> The </w:t>
      </w:r>
      <w:r w:rsidR="00244F02">
        <w:t xml:space="preserve">anonymous </w:t>
      </w:r>
      <w:r w:rsidR="00DD5347">
        <w:t>writer notes that the original builders may have put a room at either end o</w:t>
      </w:r>
      <w:r w:rsidR="00656715">
        <w:t>f the H</w:t>
      </w:r>
      <w:r w:rsidR="00DD5347">
        <w:t xml:space="preserve">all. </w:t>
      </w:r>
      <w:r w:rsidR="00404657">
        <w:t>The room at one end was</w:t>
      </w:r>
      <w:r w:rsidR="00DD5347">
        <w:t xml:space="preserve"> served by a spiral s</w:t>
      </w:r>
      <w:r w:rsidR="00B35F5C">
        <w:t>tairway in the south-west e</w:t>
      </w:r>
      <w:r w:rsidR="00444DCA">
        <w:t>nd, while any room, perhaps det</w:t>
      </w:r>
      <w:r w:rsidR="00B35F5C">
        <w:t xml:space="preserve">ached, at the other would have been a kitchen or domestic rooms. </w:t>
      </w:r>
      <w:r w:rsidR="0041050B">
        <w:t>A</w:t>
      </w:r>
      <w:r w:rsidR="00B35F5C">
        <w:t xml:space="preserve"> rather different interpretation is offered below.</w:t>
      </w:r>
    </w:p>
    <w:p w14:paraId="2731878D" w14:textId="77777777" w:rsidR="00C075B1" w:rsidRDefault="00C075B1" w:rsidP="008E7CFA">
      <w:pPr>
        <w:spacing w:line="360" w:lineRule="auto"/>
      </w:pPr>
    </w:p>
    <w:p w14:paraId="322A05B0" w14:textId="797505DB" w:rsidR="00942677" w:rsidRDefault="00942677" w:rsidP="008E7CFA">
      <w:pPr>
        <w:spacing w:line="360" w:lineRule="auto"/>
        <w:rPr>
          <w:szCs w:val="24"/>
        </w:rPr>
      </w:pPr>
      <w:r>
        <w:rPr>
          <w:szCs w:val="24"/>
        </w:rPr>
        <w:t>HISTORICAL BACKGROUND</w:t>
      </w:r>
      <w:r w:rsidR="007C08F1">
        <w:rPr>
          <w:szCs w:val="24"/>
        </w:rPr>
        <w:t xml:space="preserve"> TO 1547</w:t>
      </w:r>
    </w:p>
    <w:p w14:paraId="11290622" w14:textId="77777777" w:rsidR="00942677" w:rsidRDefault="00942677" w:rsidP="008E7CFA">
      <w:pPr>
        <w:spacing w:line="360" w:lineRule="auto"/>
      </w:pPr>
    </w:p>
    <w:p w14:paraId="1D8E0978" w14:textId="336A3F61" w:rsidR="00F46CBF" w:rsidRPr="00F46CBF" w:rsidRDefault="00F46CBF" w:rsidP="008E7CFA">
      <w:pPr>
        <w:pStyle w:val="HTMLAddress"/>
        <w:spacing w:line="360" w:lineRule="auto"/>
        <w:rPr>
          <w:szCs w:val="24"/>
          <w:lang w:eastAsia="ja-JP"/>
        </w:rPr>
      </w:pPr>
      <w:r w:rsidRPr="00F46CBF">
        <w:rPr>
          <w:szCs w:val="24"/>
          <w:lang w:eastAsia="ja-JP"/>
        </w:rPr>
        <w:t xml:space="preserve">Horton manor was granted </w:t>
      </w:r>
      <w:r w:rsidRPr="00F46CBF">
        <w:rPr>
          <w:i/>
          <w:szCs w:val="24"/>
          <w:lang w:eastAsia="ja-JP"/>
        </w:rPr>
        <w:t>c</w:t>
      </w:r>
      <w:r w:rsidRPr="00F46CBF">
        <w:rPr>
          <w:szCs w:val="24"/>
          <w:lang w:eastAsia="ja-JP"/>
        </w:rPr>
        <w:t xml:space="preserve">. 1115 to Salisbury cathedral by Agnes de </w:t>
      </w:r>
      <w:proofErr w:type="spellStart"/>
      <w:r w:rsidRPr="00F46CBF">
        <w:rPr>
          <w:szCs w:val="24"/>
          <w:lang w:eastAsia="ja-JP"/>
        </w:rPr>
        <w:t>Bellofago</w:t>
      </w:r>
      <w:proofErr w:type="spellEnd"/>
      <w:r w:rsidRPr="00F46CBF">
        <w:rPr>
          <w:szCs w:val="24"/>
          <w:lang w:eastAsia="ja-JP"/>
        </w:rPr>
        <w:t xml:space="preserve"> (</w:t>
      </w:r>
      <w:proofErr w:type="spellStart"/>
      <w:r w:rsidRPr="00F46CBF">
        <w:rPr>
          <w:szCs w:val="24"/>
          <w:lang w:eastAsia="ja-JP"/>
        </w:rPr>
        <w:t>Beaufou</w:t>
      </w:r>
      <w:proofErr w:type="spellEnd"/>
      <w:r w:rsidRPr="00F46CBF">
        <w:rPr>
          <w:szCs w:val="24"/>
          <w:lang w:eastAsia="ja-JP"/>
        </w:rPr>
        <w:t xml:space="preserve">), daughter of Ralph de </w:t>
      </w:r>
      <w:proofErr w:type="spellStart"/>
      <w:r w:rsidRPr="00F46CBF">
        <w:rPr>
          <w:szCs w:val="24"/>
          <w:lang w:eastAsia="ja-JP"/>
        </w:rPr>
        <w:t>Bellofago</w:t>
      </w:r>
      <w:proofErr w:type="spellEnd"/>
      <w:r w:rsidRPr="00F46CBF">
        <w:rPr>
          <w:szCs w:val="24"/>
          <w:lang w:eastAsia="ja-JP"/>
        </w:rPr>
        <w:t xml:space="preserve"> and wife of Henry de Ria, and by Henry her son.</w:t>
      </w:r>
      <w:r w:rsidR="00063909">
        <w:rPr>
          <w:rStyle w:val="FootnoteReference"/>
          <w:szCs w:val="24"/>
          <w:lang w:eastAsia="ja-JP"/>
        </w:rPr>
        <w:footnoteReference w:id="9"/>
      </w:r>
      <w:r w:rsidRPr="00F46CBF">
        <w:rPr>
          <w:szCs w:val="24"/>
          <w:lang w:eastAsia="ja-JP"/>
        </w:rPr>
        <w:t xml:space="preserve">  She was related to William de </w:t>
      </w:r>
      <w:proofErr w:type="spellStart"/>
      <w:r w:rsidRPr="00F46CBF">
        <w:rPr>
          <w:szCs w:val="24"/>
          <w:lang w:eastAsia="ja-JP"/>
        </w:rPr>
        <w:t>Bellofago</w:t>
      </w:r>
      <w:proofErr w:type="spellEnd"/>
      <w:r w:rsidRPr="00F46CBF">
        <w:rPr>
          <w:szCs w:val="24"/>
          <w:lang w:eastAsia="ja-JP"/>
        </w:rPr>
        <w:t xml:space="preserve">, the late </w:t>
      </w:r>
      <w:r w:rsidR="00291AF4">
        <w:rPr>
          <w:szCs w:val="24"/>
          <w:lang w:eastAsia="ja-JP"/>
        </w:rPr>
        <w:t>11</w:t>
      </w:r>
      <w:r w:rsidRPr="00F46CBF">
        <w:rPr>
          <w:szCs w:val="24"/>
          <w:lang w:eastAsia="ja-JP"/>
        </w:rPr>
        <w:t xml:space="preserve">th-century bishop of Thetford and to Richard, archdeacon of Suffolk and later bishop of </w:t>
      </w:r>
      <w:proofErr w:type="spellStart"/>
      <w:r w:rsidRPr="00F46CBF">
        <w:rPr>
          <w:szCs w:val="24"/>
          <w:lang w:eastAsia="ja-JP"/>
        </w:rPr>
        <w:t>Avranches</w:t>
      </w:r>
      <w:proofErr w:type="spellEnd"/>
      <w:r w:rsidRPr="00F46CBF">
        <w:rPr>
          <w:szCs w:val="24"/>
          <w:lang w:eastAsia="ja-JP"/>
        </w:rPr>
        <w:t>. The family had connections with the ecclesiastic elite, and the purpose of the donation was evidently to provide for a further relation.</w:t>
      </w:r>
      <w:r w:rsidR="00063909">
        <w:rPr>
          <w:rStyle w:val="FootnoteReference"/>
          <w:szCs w:val="24"/>
          <w:lang w:eastAsia="ja-JP"/>
        </w:rPr>
        <w:footnoteReference w:id="10"/>
      </w:r>
      <w:r w:rsidRPr="00F46CBF">
        <w:rPr>
          <w:szCs w:val="24"/>
          <w:lang w:eastAsia="ja-JP"/>
        </w:rPr>
        <w:t xml:space="preserve"> Gilbert de </w:t>
      </w:r>
      <w:proofErr w:type="spellStart"/>
      <w:r w:rsidRPr="00F46CBF">
        <w:rPr>
          <w:szCs w:val="24"/>
          <w:lang w:eastAsia="ja-JP"/>
        </w:rPr>
        <w:t>Bellofago</w:t>
      </w:r>
      <w:proofErr w:type="spellEnd"/>
      <w:r w:rsidRPr="00F46CBF">
        <w:rPr>
          <w:szCs w:val="24"/>
          <w:lang w:eastAsia="ja-JP"/>
        </w:rPr>
        <w:t xml:space="preserve"> was holding the </w:t>
      </w:r>
      <w:proofErr w:type="spellStart"/>
      <w:r w:rsidRPr="00F46CBF">
        <w:rPr>
          <w:szCs w:val="24"/>
          <w:lang w:eastAsia="ja-JP"/>
        </w:rPr>
        <w:t>prebend</w:t>
      </w:r>
      <w:proofErr w:type="spellEnd"/>
      <w:r w:rsidRPr="00F46CBF">
        <w:rPr>
          <w:szCs w:val="24"/>
          <w:lang w:eastAsia="ja-JP"/>
        </w:rPr>
        <w:t xml:space="preserve"> of Horton by 1149 and </w:t>
      </w:r>
      <w:r w:rsidR="004062AD">
        <w:rPr>
          <w:szCs w:val="24"/>
          <w:lang w:eastAsia="ja-JP"/>
        </w:rPr>
        <w:t xml:space="preserve">yet another </w:t>
      </w:r>
      <w:r w:rsidR="008D54E3">
        <w:rPr>
          <w:szCs w:val="24"/>
          <w:lang w:eastAsia="ja-JP"/>
        </w:rPr>
        <w:t xml:space="preserve">relation, </w:t>
      </w:r>
      <w:r w:rsidRPr="00F46CBF">
        <w:rPr>
          <w:szCs w:val="24"/>
          <w:lang w:eastAsia="ja-JP"/>
        </w:rPr>
        <w:t xml:space="preserve">Robert de </w:t>
      </w:r>
      <w:proofErr w:type="spellStart"/>
      <w:r w:rsidRPr="00F46CBF">
        <w:rPr>
          <w:szCs w:val="24"/>
          <w:lang w:eastAsia="ja-JP"/>
        </w:rPr>
        <w:t>Bellofago</w:t>
      </w:r>
      <w:proofErr w:type="spellEnd"/>
      <w:r w:rsidR="008D54E3">
        <w:rPr>
          <w:szCs w:val="24"/>
          <w:lang w:eastAsia="ja-JP"/>
        </w:rPr>
        <w:t>,</w:t>
      </w:r>
      <w:r w:rsidRPr="00F46CBF">
        <w:rPr>
          <w:szCs w:val="24"/>
          <w:lang w:eastAsia="ja-JP"/>
        </w:rPr>
        <w:t xml:space="preserve"> held it in </w:t>
      </w:r>
      <w:r w:rsidRPr="00F46CBF">
        <w:rPr>
          <w:szCs w:val="24"/>
          <w:lang w:eastAsia="ja-JP"/>
        </w:rPr>
        <w:lastRenderedPageBreak/>
        <w:t>1155x61.</w:t>
      </w:r>
      <w:r w:rsidR="0019415C">
        <w:rPr>
          <w:rStyle w:val="FootnoteReference"/>
          <w:szCs w:val="24"/>
          <w:lang w:eastAsia="ja-JP"/>
        </w:rPr>
        <w:footnoteReference w:id="11"/>
      </w:r>
      <w:r w:rsidRPr="00F46CBF">
        <w:rPr>
          <w:szCs w:val="24"/>
          <w:lang w:eastAsia="ja-JP"/>
        </w:rPr>
        <w:t xml:space="preserve"> He was still alive in 1193.</w:t>
      </w:r>
      <w:r w:rsidRPr="00F46CBF">
        <w:rPr>
          <w:rStyle w:val="FootnoteReference"/>
          <w:szCs w:val="24"/>
          <w:lang w:eastAsia="ja-JP"/>
        </w:rPr>
        <w:footnoteReference w:id="12"/>
      </w:r>
      <w:r w:rsidRPr="00F46CBF">
        <w:rPr>
          <w:szCs w:val="24"/>
          <w:lang w:eastAsia="ja-JP"/>
        </w:rPr>
        <w:t xml:space="preserve"> Horton was annexed to the bishopric in 1219.</w:t>
      </w:r>
      <w:r w:rsidRPr="00F46CBF">
        <w:rPr>
          <w:rStyle w:val="FootnoteReference"/>
          <w:szCs w:val="24"/>
          <w:lang w:eastAsia="ja-JP"/>
        </w:rPr>
        <w:footnoteReference w:id="13"/>
      </w:r>
      <w:r w:rsidRPr="00F46CBF">
        <w:rPr>
          <w:szCs w:val="24"/>
          <w:lang w:eastAsia="ja-JP"/>
        </w:rPr>
        <w:t xml:space="preserve">  This </w:t>
      </w:r>
      <w:r w:rsidR="001E0C24">
        <w:rPr>
          <w:szCs w:val="24"/>
          <w:lang w:eastAsia="ja-JP"/>
        </w:rPr>
        <w:t>broke</w:t>
      </w:r>
      <w:r w:rsidRPr="00F46CBF">
        <w:rPr>
          <w:szCs w:val="24"/>
          <w:lang w:eastAsia="ja-JP"/>
        </w:rPr>
        <w:t xml:space="preserve"> the link for the time being between the family and the estate. Something rather similar happened </w:t>
      </w:r>
      <w:r w:rsidR="007A73AC">
        <w:rPr>
          <w:szCs w:val="24"/>
          <w:lang w:eastAsia="ja-JP"/>
        </w:rPr>
        <w:t xml:space="preserve">to </w:t>
      </w:r>
      <w:r w:rsidRPr="00F46CBF">
        <w:rPr>
          <w:szCs w:val="24"/>
          <w:lang w:eastAsia="ja-JP"/>
        </w:rPr>
        <w:t xml:space="preserve">the church of Bishops Canning and the estate of Horton – not Horton in Gloucestershire, but evidently Horton in Bishops </w:t>
      </w:r>
      <w:proofErr w:type="spellStart"/>
      <w:r w:rsidRPr="00F46CBF">
        <w:rPr>
          <w:szCs w:val="24"/>
          <w:lang w:eastAsia="ja-JP"/>
        </w:rPr>
        <w:t>Canning</w:t>
      </w:r>
      <w:r w:rsidR="00B8082E">
        <w:rPr>
          <w:szCs w:val="24"/>
          <w:lang w:eastAsia="ja-JP"/>
        </w:rPr>
        <w:t>s</w:t>
      </w:r>
      <w:proofErr w:type="spellEnd"/>
      <w:r w:rsidR="007E2A3B">
        <w:rPr>
          <w:szCs w:val="24"/>
          <w:lang w:eastAsia="ja-JP"/>
        </w:rPr>
        <w:t xml:space="preserve"> (</w:t>
      </w:r>
      <w:proofErr w:type="spellStart"/>
      <w:r w:rsidR="007E2A3B">
        <w:rPr>
          <w:szCs w:val="24"/>
          <w:lang w:eastAsia="ja-JP"/>
        </w:rPr>
        <w:t>Wilts.</w:t>
      </w:r>
      <w:proofErr w:type="spellEnd"/>
      <w:r w:rsidR="007E2A3B">
        <w:rPr>
          <w:szCs w:val="24"/>
          <w:lang w:eastAsia="ja-JP"/>
        </w:rPr>
        <w:t>)</w:t>
      </w:r>
      <w:r w:rsidRPr="00F46CBF">
        <w:rPr>
          <w:szCs w:val="24"/>
          <w:lang w:eastAsia="ja-JP"/>
        </w:rPr>
        <w:t xml:space="preserve"> – which had been held by Robert </w:t>
      </w:r>
      <w:r>
        <w:rPr>
          <w:szCs w:val="24"/>
          <w:lang w:eastAsia="ja-JP"/>
        </w:rPr>
        <w:t xml:space="preserve">de </w:t>
      </w:r>
      <w:proofErr w:type="spellStart"/>
      <w:r>
        <w:rPr>
          <w:szCs w:val="24"/>
          <w:lang w:eastAsia="ja-JP"/>
        </w:rPr>
        <w:t>Bellofago</w:t>
      </w:r>
      <w:proofErr w:type="spellEnd"/>
      <w:r>
        <w:rPr>
          <w:szCs w:val="24"/>
          <w:lang w:eastAsia="ja-JP"/>
        </w:rPr>
        <w:t xml:space="preserve"> and </w:t>
      </w:r>
      <w:r w:rsidRPr="00F46CBF">
        <w:rPr>
          <w:szCs w:val="24"/>
          <w:lang w:eastAsia="ja-JP"/>
        </w:rPr>
        <w:t>was annexed to the common fund after his death.</w:t>
      </w:r>
      <w:r w:rsidRPr="00F46CBF">
        <w:rPr>
          <w:rStyle w:val="FootnoteReference"/>
          <w:szCs w:val="24"/>
          <w:lang w:eastAsia="ja-JP"/>
        </w:rPr>
        <w:footnoteReference w:id="14"/>
      </w:r>
      <w:r w:rsidRPr="00F46CBF">
        <w:rPr>
          <w:szCs w:val="24"/>
          <w:lang w:eastAsia="ja-JP"/>
        </w:rPr>
        <w:t xml:space="preserve"> It is not clear at which of the Hortons the bishop of Salisbury issued deeds in 1230/31, 1242 and 1250.</w:t>
      </w:r>
      <w:r w:rsidRPr="00F46CBF">
        <w:rPr>
          <w:rStyle w:val="FootnoteReference"/>
          <w:szCs w:val="24"/>
          <w:lang w:eastAsia="ja-JP"/>
        </w:rPr>
        <w:footnoteReference w:id="15"/>
      </w:r>
      <w:r w:rsidRPr="00F46CBF">
        <w:rPr>
          <w:szCs w:val="24"/>
          <w:lang w:eastAsia="ja-JP"/>
        </w:rPr>
        <w:t xml:space="preserve"> The estate </w:t>
      </w:r>
      <w:r w:rsidR="008D54E3">
        <w:rPr>
          <w:szCs w:val="24"/>
          <w:lang w:eastAsia="ja-JP"/>
        </w:rPr>
        <w:t xml:space="preserve">of the Gloucestershire Horton </w:t>
      </w:r>
      <w:r w:rsidRPr="00F46CBF">
        <w:rPr>
          <w:szCs w:val="24"/>
          <w:lang w:eastAsia="ja-JP"/>
        </w:rPr>
        <w:t xml:space="preserve">was re-established as a separate </w:t>
      </w:r>
      <w:proofErr w:type="spellStart"/>
      <w:r w:rsidRPr="00F46CBF">
        <w:rPr>
          <w:szCs w:val="24"/>
          <w:lang w:eastAsia="ja-JP"/>
        </w:rPr>
        <w:t>prebend</w:t>
      </w:r>
      <w:proofErr w:type="spellEnd"/>
      <w:r w:rsidRPr="00F46CBF">
        <w:rPr>
          <w:szCs w:val="24"/>
          <w:lang w:eastAsia="ja-JP"/>
        </w:rPr>
        <w:t xml:space="preserve"> in 1254 when it was </w:t>
      </w:r>
      <w:r w:rsidR="003C79AB">
        <w:rPr>
          <w:szCs w:val="24"/>
          <w:lang w:eastAsia="ja-JP"/>
        </w:rPr>
        <w:t>exchanged</w:t>
      </w:r>
      <w:r w:rsidRPr="00F46CBF">
        <w:rPr>
          <w:szCs w:val="24"/>
          <w:lang w:eastAsia="ja-JP"/>
        </w:rPr>
        <w:t xml:space="preserve"> by the bishop for </w:t>
      </w:r>
      <w:r w:rsidR="001E0C24">
        <w:rPr>
          <w:szCs w:val="24"/>
          <w:lang w:eastAsia="ja-JP"/>
        </w:rPr>
        <w:t xml:space="preserve">the manor of </w:t>
      </w:r>
      <w:proofErr w:type="spellStart"/>
      <w:r w:rsidRPr="00F46CBF">
        <w:rPr>
          <w:szCs w:val="24"/>
          <w:lang w:eastAsia="ja-JP"/>
        </w:rPr>
        <w:t>Potterne</w:t>
      </w:r>
      <w:proofErr w:type="spellEnd"/>
      <w:r w:rsidRPr="00F46CBF">
        <w:rPr>
          <w:szCs w:val="24"/>
          <w:lang w:eastAsia="ja-JP"/>
        </w:rPr>
        <w:t xml:space="preserve"> </w:t>
      </w:r>
      <w:r w:rsidR="001E0C24">
        <w:rPr>
          <w:szCs w:val="24"/>
          <w:lang w:eastAsia="ja-JP"/>
        </w:rPr>
        <w:t>(</w:t>
      </w:r>
      <w:proofErr w:type="spellStart"/>
      <w:r w:rsidR="001E0C24">
        <w:rPr>
          <w:szCs w:val="24"/>
          <w:lang w:eastAsia="ja-JP"/>
        </w:rPr>
        <w:t>Wilts.</w:t>
      </w:r>
      <w:proofErr w:type="spellEnd"/>
      <w:r w:rsidR="001E0C24">
        <w:rPr>
          <w:szCs w:val="24"/>
          <w:lang w:eastAsia="ja-JP"/>
        </w:rPr>
        <w:t xml:space="preserve">) </w:t>
      </w:r>
      <w:r w:rsidRPr="00F46CBF">
        <w:rPr>
          <w:szCs w:val="24"/>
          <w:lang w:eastAsia="ja-JP"/>
        </w:rPr>
        <w:t>which was more valuable.</w:t>
      </w:r>
      <w:r w:rsidRPr="00F46CBF">
        <w:rPr>
          <w:rStyle w:val="FootnoteReference"/>
          <w:szCs w:val="24"/>
          <w:lang w:eastAsia="ja-JP"/>
        </w:rPr>
        <w:footnoteReference w:id="16"/>
      </w:r>
      <w:r w:rsidR="00B35F5C">
        <w:rPr>
          <w:szCs w:val="24"/>
          <w:lang w:eastAsia="ja-JP"/>
        </w:rPr>
        <w:t xml:space="preserve"> T</w:t>
      </w:r>
      <w:r w:rsidR="00B35F5C" w:rsidRPr="00F46CBF">
        <w:rPr>
          <w:szCs w:val="24"/>
          <w:lang w:eastAsia="ja-JP"/>
        </w:rPr>
        <w:t xml:space="preserve">he </w:t>
      </w:r>
      <w:r w:rsidR="00B35F5C">
        <w:rPr>
          <w:szCs w:val="24"/>
          <w:lang w:eastAsia="ja-JP"/>
        </w:rPr>
        <w:t>temporalities, which included four carucates of land, were taxed in 1291/2 at £8 11</w:t>
      </w:r>
      <w:r w:rsidR="00B35F5C">
        <w:rPr>
          <w:i/>
          <w:szCs w:val="24"/>
          <w:lang w:eastAsia="ja-JP"/>
        </w:rPr>
        <w:t xml:space="preserve">s. </w:t>
      </w:r>
      <w:r w:rsidR="00B35F5C">
        <w:rPr>
          <w:szCs w:val="24"/>
          <w:lang w:eastAsia="ja-JP"/>
        </w:rPr>
        <w:t>4</w:t>
      </w:r>
      <w:r w:rsidR="00B35F5C">
        <w:rPr>
          <w:i/>
          <w:szCs w:val="24"/>
          <w:lang w:eastAsia="ja-JP"/>
        </w:rPr>
        <w:t>d</w:t>
      </w:r>
      <w:r w:rsidR="004062AD">
        <w:rPr>
          <w:i/>
          <w:szCs w:val="24"/>
          <w:lang w:eastAsia="ja-JP"/>
        </w:rPr>
        <w:t>.</w:t>
      </w:r>
      <w:r w:rsidR="00291AF4">
        <w:rPr>
          <w:szCs w:val="24"/>
          <w:lang w:eastAsia="ja-JP"/>
        </w:rPr>
        <w:t xml:space="preserve">, while the spiritualities </w:t>
      </w:r>
      <w:r w:rsidR="00E5610E">
        <w:rPr>
          <w:szCs w:val="24"/>
          <w:lang w:eastAsia="ja-JP"/>
        </w:rPr>
        <w:t>paid</w:t>
      </w:r>
      <w:r w:rsidR="00291AF4">
        <w:rPr>
          <w:szCs w:val="24"/>
          <w:lang w:eastAsia="ja-JP"/>
        </w:rPr>
        <w:t xml:space="preserve"> to</w:t>
      </w:r>
      <w:r w:rsidR="00B35F5C">
        <w:rPr>
          <w:szCs w:val="24"/>
          <w:lang w:eastAsia="ja-JP"/>
        </w:rPr>
        <w:t xml:space="preserve"> Salisbury </w:t>
      </w:r>
      <w:r w:rsidR="00E5610E">
        <w:rPr>
          <w:szCs w:val="24"/>
          <w:lang w:eastAsia="ja-JP"/>
        </w:rPr>
        <w:t xml:space="preserve">cathedral </w:t>
      </w:r>
      <w:r w:rsidR="00B35F5C">
        <w:rPr>
          <w:szCs w:val="24"/>
          <w:lang w:eastAsia="ja-JP"/>
        </w:rPr>
        <w:t>were taxed at £6 16</w:t>
      </w:r>
      <w:r w:rsidR="00B35F5C">
        <w:rPr>
          <w:i/>
          <w:szCs w:val="24"/>
          <w:lang w:eastAsia="ja-JP"/>
        </w:rPr>
        <w:t xml:space="preserve">s. </w:t>
      </w:r>
      <w:r w:rsidR="00B35F5C">
        <w:rPr>
          <w:szCs w:val="24"/>
          <w:lang w:eastAsia="ja-JP"/>
        </w:rPr>
        <w:t>8</w:t>
      </w:r>
      <w:r w:rsidR="00B35F5C">
        <w:rPr>
          <w:i/>
          <w:szCs w:val="24"/>
          <w:lang w:eastAsia="ja-JP"/>
        </w:rPr>
        <w:t xml:space="preserve">d. </w:t>
      </w:r>
      <w:r w:rsidR="00B35F5C">
        <w:rPr>
          <w:szCs w:val="24"/>
          <w:lang w:eastAsia="ja-JP"/>
        </w:rPr>
        <w:t>This represented a tenth of the income from these sources.</w:t>
      </w:r>
      <w:r w:rsidR="00B35F5C" w:rsidRPr="000D7697">
        <w:rPr>
          <w:rStyle w:val="FootnoteReference"/>
          <w:szCs w:val="24"/>
          <w:lang w:eastAsia="ja-JP"/>
        </w:rPr>
        <w:footnoteReference w:id="17"/>
      </w:r>
    </w:p>
    <w:p w14:paraId="0E6CD62C" w14:textId="59507DD2" w:rsidR="00F46CBF" w:rsidRPr="00195660" w:rsidRDefault="00F46CBF" w:rsidP="008E7CFA">
      <w:pPr>
        <w:pStyle w:val="HTMLAddress"/>
        <w:spacing w:line="360" w:lineRule="auto"/>
        <w:rPr>
          <w:i/>
          <w:szCs w:val="24"/>
          <w:lang w:eastAsia="ja-JP"/>
        </w:rPr>
      </w:pPr>
      <w:r w:rsidRPr="00F46CBF">
        <w:rPr>
          <w:i/>
          <w:szCs w:val="24"/>
          <w:lang w:eastAsia="ja-JP"/>
        </w:rPr>
        <w:tab/>
      </w:r>
      <w:r w:rsidRPr="00F46CBF">
        <w:rPr>
          <w:szCs w:val="24"/>
          <w:lang w:eastAsia="ja-JP"/>
        </w:rPr>
        <w:t xml:space="preserve">The manor was held by a series of prebendaries in the later </w:t>
      </w:r>
      <w:r w:rsidR="00291AF4">
        <w:rPr>
          <w:szCs w:val="24"/>
          <w:lang w:eastAsia="ja-JP"/>
        </w:rPr>
        <w:t>13t</w:t>
      </w:r>
      <w:r w:rsidRPr="00F46CBF">
        <w:rPr>
          <w:szCs w:val="24"/>
          <w:lang w:eastAsia="ja-JP"/>
        </w:rPr>
        <w:t xml:space="preserve">h and </w:t>
      </w:r>
      <w:r w:rsidR="00291AF4">
        <w:rPr>
          <w:szCs w:val="24"/>
          <w:lang w:eastAsia="ja-JP"/>
        </w:rPr>
        <w:t>14</w:t>
      </w:r>
      <w:r w:rsidRPr="00F46CBF">
        <w:rPr>
          <w:szCs w:val="24"/>
          <w:lang w:eastAsia="ja-JP"/>
        </w:rPr>
        <w:t>th centuries, but</w:t>
      </w:r>
      <w:r w:rsidR="00787703">
        <w:rPr>
          <w:szCs w:val="24"/>
          <w:lang w:eastAsia="ja-JP"/>
        </w:rPr>
        <w:t xml:space="preserve"> </w:t>
      </w:r>
      <w:r w:rsidRPr="00F46CBF">
        <w:rPr>
          <w:szCs w:val="24"/>
          <w:lang w:eastAsia="ja-JP"/>
        </w:rPr>
        <w:t xml:space="preserve">the holders in the </w:t>
      </w:r>
      <w:r w:rsidR="00291AF4">
        <w:rPr>
          <w:szCs w:val="24"/>
          <w:lang w:eastAsia="ja-JP"/>
        </w:rPr>
        <w:t>15</w:t>
      </w:r>
      <w:r w:rsidRPr="00F46CBF">
        <w:rPr>
          <w:szCs w:val="24"/>
          <w:lang w:eastAsia="ja-JP"/>
        </w:rPr>
        <w:t>th century are most relevant</w:t>
      </w:r>
      <w:r w:rsidR="00787703" w:rsidRPr="00787703">
        <w:rPr>
          <w:szCs w:val="24"/>
          <w:lang w:eastAsia="ja-JP"/>
        </w:rPr>
        <w:t xml:space="preserve"> </w:t>
      </w:r>
      <w:r w:rsidR="00787703" w:rsidRPr="00F46CBF">
        <w:rPr>
          <w:szCs w:val="24"/>
          <w:lang w:eastAsia="ja-JP"/>
        </w:rPr>
        <w:t>for the present purposes</w:t>
      </w:r>
      <w:r w:rsidRPr="00F46CBF">
        <w:rPr>
          <w:szCs w:val="24"/>
          <w:lang w:eastAsia="ja-JP"/>
        </w:rPr>
        <w:t xml:space="preserve">. The </w:t>
      </w:r>
      <w:proofErr w:type="spellStart"/>
      <w:r w:rsidRPr="00F46CBF">
        <w:rPr>
          <w:szCs w:val="24"/>
          <w:lang w:eastAsia="ja-JP"/>
        </w:rPr>
        <w:t>prebend</w:t>
      </w:r>
      <w:proofErr w:type="spellEnd"/>
      <w:r w:rsidRPr="00F46CBF">
        <w:rPr>
          <w:szCs w:val="24"/>
          <w:lang w:eastAsia="ja-JP"/>
        </w:rPr>
        <w:t xml:space="preserve"> was reserved to the pope in 1397, who provided it to Henry Beaufort</w:t>
      </w:r>
      <w:r>
        <w:rPr>
          <w:szCs w:val="24"/>
          <w:lang w:eastAsia="ja-JP"/>
        </w:rPr>
        <w:t xml:space="preserve"> who was perhaps a descendent of the family of the original grantor</w:t>
      </w:r>
      <w:r w:rsidRPr="00F46CBF">
        <w:rPr>
          <w:szCs w:val="24"/>
          <w:lang w:eastAsia="ja-JP"/>
        </w:rPr>
        <w:t xml:space="preserve">. When Beaufort was </w:t>
      </w:r>
      <w:r w:rsidR="008E7CFA">
        <w:rPr>
          <w:szCs w:val="24"/>
          <w:lang w:eastAsia="ja-JP"/>
        </w:rPr>
        <w:t>granted the</w:t>
      </w:r>
      <w:r w:rsidRPr="00F46CBF">
        <w:rPr>
          <w:szCs w:val="24"/>
          <w:lang w:eastAsia="ja-JP"/>
        </w:rPr>
        <w:t xml:space="preserve"> bishop</w:t>
      </w:r>
      <w:r w:rsidR="008E7CFA">
        <w:rPr>
          <w:szCs w:val="24"/>
          <w:lang w:eastAsia="ja-JP"/>
        </w:rPr>
        <w:t>ric</w:t>
      </w:r>
      <w:r w:rsidRPr="00F46CBF">
        <w:rPr>
          <w:szCs w:val="24"/>
          <w:lang w:eastAsia="ja-JP"/>
        </w:rPr>
        <w:t xml:space="preserve"> of Lincoln in 1399, Nicholas Daniel was appointed to the estate and continued to hold it until his death in 1424. </w:t>
      </w:r>
      <w:r w:rsidR="00B35F5C" w:rsidRPr="00F46CBF">
        <w:rPr>
          <w:szCs w:val="24"/>
          <w:lang w:eastAsia="ja-JP"/>
        </w:rPr>
        <w:t xml:space="preserve">Subsequent prebendaries in the early </w:t>
      </w:r>
      <w:r w:rsidR="00A85CBB">
        <w:rPr>
          <w:szCs w:val="24"/>
          <w:lang w:eastAsia="ja-JP"/>
        </w:rPr>
        <w:t>15th</w:t>
      </w:r>
      <w:r w:rsidR="00B35F5C" w:rsidRPr="00F46CBF">
        <w:rPr>
          <w:szCs w:val="24"/>
          <w:lang w:eastAsia="ja-JP"/>
        </w:rPr>
        <w:t xml:space="preserve"> century </w:t>
      </w:r>
      <w:r w:rsidR="00B35F5C">
        <w:rPr>
          <w:szCs w:val="24"/>
          <w:lang w:eastAsia="ja-JP"/>
        </w:rPr>
        <w:t>included</w:t>
      </w:r>
      <w:r w:rsidR="00B35F5C" w:rsidRPr="00F46CBF">
        <w:rPr>
          <w:szCs w:val="24"/>
          <w:lang w:eastAsia="ja-JP"/>
        </w:rPr>
        <w:t xml:space="preserve"> John Burton who was collated in 1424 and held the </w:t>
      </w:r>
      <w:proofErr w:type="spellStart"/>
      <w:r w:rsidR="00B35F5C" w:rsidRPr="00F46CBF">
        <w:rPr>
          <w:szCs w:val="24"/>
          <w:lang w:eastAsia="ja-JP"/>
        </w:rPr>
        <w:t>prebend</w:t>
      </w:r>
      <w:proofErr w:type="spellEnd"/>
      <w:r w:rsidR="00B35F5C" w:rsidRPr="00F46CBF">
        <w:rPr>
          <w:szCs w:val="24"/>
          <w:lang w:eastAsia="ja-JP"/>
        </w:rPr>
        <w:t xml:space="preserve"> until his death by 1431.</w:t>
      </w:r>
      <w:r w:rsidR="00B35F5C" w:rsidRPr="00F46CBF">
        <w:rPr>
          <w:rStyle w:val="FootnoteReference"/>
          <w:szCs w:val="24"/>
          <w:lang w:eastAsia="ja-JP"/>
        </w:rPr>
        <w:footnoteReference w:id="18"/>
      </w:r>
      <w:r w:rsidR="00B35F5C">
        <w:rPr>
          <w:szCs w:val="24"/>
          <w:lang w:eastAsia="ja-JP"/>
        </w:rPr>
        <w:t xml:space="preserve"> The most important figure with regard to the buildings at Horton was William Knight (1475/6</w:t>
      </w:r>
      <w:r w:rsidR="004062AD">
        <w:rPr>
          <w:szCs w:val="24"/>
          <w:lang w:eastAsia="ja-JP"/>
        </w:rPr>
        <w:t>–</w:t>
      </w:r>
      <w:r w:rsidR="00B35F5C">
        <w:rPr>
          <w:szCs w:val="24"/>
          <w:lang w:eastAsia="ja-JP"/>
        </w:rPr>
        <w:t xml:space="preserve">1547) who held the </w:t>
      </w:r>
      <w:proofErr w:type="spellStart"/>
      <w:r w:rsidR="00B35F5C">
        <w:rPr>
          <w:szCs w:val="24"/>
          <w:lang w:eastAsia="ja-JP"/>
        </w:rPr>
        <w:t>prebend</w:t>
      </w:r>
      <w:proofErr w:type="spellEnd"/>
      <w:r w:rsidR="00B35F5C">
        <w:rPr>
          <w:szCs w:val="24"/>
          <w:lang w:eastAsia="ja-JP"/>
        </w:rPr>
        <w:t xml:space="preserve"> of Horton from 1516 to 1541</w:t>
      </w:r>
      <w:r w:rsidR="008D54E3">
        <w:rPr>
          <w:szCs w:val="24"/>
          <w:lang w:eastAsia="ja-JP"/>
        </w:rPr>
        <w:t>. He was a pluralist, holding Horton</w:t>
      </w:r>
      <w:r w:rsidR="00B35F5C">
        <w:rPr>
          <w:szCs w:val="24"/>
          <w:lang w:eastAsia="ja-JP"/>
        </w:rPr>
        <w:t xml:space="preserve"> simultaneously with </w:t>
      </w:r>
      <w:proofErr w:type="spellStart"/>
      <w:r w:rsidR="00B35F5C">
        <w:rPr>
          <w:szCs w:val="24"/>
          <w:lang w:eastAsia="ja-JP"/>
        </w:rPr>
        <w:lastRenderedPageBreak/>
        <w:t>prebends</w:t>
      </w:r>
      <w:proofErr w:type="spellEnd"/>
      <w:r w:rsidR="00B35F5C">
        <w:rPr>
          <w:szCs w:val="24"/>
          <w:lang w:eastAsia="ja-JP"/>
        </w:rPr>
        <w:t xml:space="preserve"> of Lincoln, St Paul’s and Bangor cathedrals, </w:t>
      </w:r>
      <w:r w:rsidR="008D54E3">
        <w:rPr>
          <w:szCs w:val="24"/>
          <w:lang w:eastAsia="ja-JP"/>
        </w:rPr>
        <w:t xml:space="preserve">and </w:t>
      </w:r>
      <w:r w:rsidR="00B35F5C">
        <w:rPr>
          <w:szCs w:val="24"/>
          <w:lang w:eastAsia="ja-JP"/>
        </w:rPr>
        <w:t>relinquish</w:t>
      </w:r>
      <w:r w:rsidR="008D54E3">
        <w:rPr>
          <w:szCs w:val="24"/>
          <w:lang w:eastAsia="ja-JP"/>
        </w:rPr>
        <w:t>ed</w:t>
      </w:r>
      <w:r w:rsidR="00B35F5C">
        <w:rPr>
          <w:szCs w:val="24"/>
          <w:lang w:eastAsia="ja-JP"/>
        </w:rPr>
        <w:t xml:space="preserve"> them </w:t>
      </w:r>
      <w:r w:rsidR="00291AF4">
        <w:rPr>
          <w:szCs w:val="24"/>
          <w:lang w:eastAsia="ja-JP"/>
        </w:rPr>
        <w:t xml:space="preserve">all </w:t>
      </w:r>
      <w:r w:rsidR="00B35F5C">
        <w:rPr>
          <w:szCs w:val="24"/>
          <w:lang w:eastAsia="ja-JP"/>
        </w:rPr>
        <w:t xml:space="preserve">only when appointed bishop of Bath and Wells in 1541. Given his </w:t>
      </w:r>
      <w:r w:rsidR="00404AC5">
        <w:rPr>
          <w:szCs w:val="24"/>
          <w:lang w:eastAsia="ja-JP"/>
        </w:rPr>
        <w:t>many</w:t>
      </w:r>
      <w:r w:rsidR="00B35F5C">
        <w:rPr>
          <w:szCs w:val="24"/>
          <w:lang w:eastAsia="ja-JP"/>
        </w:rPr>
        <w:t xml:space="preserve"> livings and his diplomatic career, </w:t>
      </w:r>
      <w:r w:rsidR="00404AC5">
        <w:rPr>
          <w:szCs w:val="24"/>
          <w:lang w:eastAsia="ja-JP"/>
        </w:rPr>
        <w:t xml:space="preserve">which often took him abroad, </w:t>
      </w:r>
      <w:r w:rsidR="00B35F5C">
        <w:rPr>
          <w:szCs w:val="24"/>
          <w:lang w:eastAsia="ja-JP"/>
        </w:rPr>
        <w:t xml:space="preserve">it is surprising that he seems to have </w:t>
      </w:r>
      <w:r w:rsidR="004062AD">
        <w:rPr>
          <w:szCs w:val="24"/>
          <w:lang w:eastAsia="ja-JP"/>
        </w:rPr>
        <w:t>devoted</w:t>
      </w:r>
      <w:r w:rsidR="00B35F5C">
        <w:rPr>
          <w:szCs w:val="24"/>
          <w:lang w:eastAsia="ja-JP"/>
        </w:rPr>
        <w:t xml:space="preserve"> so much attention to Horton.</w:t>
      </w:r>
      <w:r w:rsidR="00B35F5C">
        <w:rPr>
          <w:rStyle w:val="FootnoteReference"/>
          <w:szCs w:val="24"/>
          <w:lang w:eastAsia="ja-JP"/>
        </w:rPr>
        <w:footnoteReference w:id="19"/>
      </w:r>
      <w:r w:rsidR="00B35F5C">
        <w:rPr>
          <w:szCs w:val="24"/>
          <w:lang w:eastAsia="ja-JP"/>
        </w:rPr>
        <w:t xml:space="preserve"> He not only </w:t>
      </w:r>
      <w:proofErr w:type="spellStart"/>
      <w:r w:rsidR="00B35F5C">
        <w:rPr>
          <w:szCs w:val="24"/>
          <w:lang w:eastAsia="ja-JP"/>
        </w:rPr>
        <w:t>remodelled</w:t>
      </w:r>
      <w:proofErr w:type="spellEnd"/>
      <w:r w:rsidR="00B35F5C">
        <w:rPr>
          <w:szCs w:val="24"/>
          <w:lang w:eastAsia="ja-JP"/>
        </w:rPr>
        <w:t xml:space="preserve"> the house, but </w:t>
      </w:r>
      <w:r w:rsidR="00291AF4">
        <w:rPr>
          <w:szCs w:val="24"/>
          <w:lang w:eastAsia="ja-JP"/>
        </w:rPr>
        <w:t xml:space="preserve">also </w:t>
      </w:r>
      <w:r w:rsidR="00B35F5C">
        <w:rPr>
          <w:szCs w:val="24"/>
          <w:lang w:eastAsia="ja-JP"/>
        </w:rPr>
        <w:t>added a loggia in the garden</w:t>
      </w:r>
      <w:r w:rsidR="00291AF4">
        <w:rPr>
          <w:szCs w:val="24"/>
          <w:lang w:eastAsia="ja-JP"/>
        </w:rPr>
        <w:t>, all</w:t>
      </w:r>
      <w:r w:rsidR="00B35F5C">
        <w:rPr>
          <w:szCs w:val="24"/>
          <w:lang w:eastAsia="ja-JP"/>
        </w:rPr>
        <w:t xml:space="preserve"> in </w:t>
      </w:r>
      <w:r w:rsidR="00E31CCA">
        <w:rPr>
          <w:szCs w:val="24"/>
          <w:lang w:eastAsia="ja-JP"/>
        </w:rPr>
        <w:t xml:space="preserve">advanced </w:t>
      </w:r>
      <w:r w:rsidR="00B35F5C">
        <w:rPr>
          <w:szCs w:val="24"/>
          <w:lang w:eastAsia="ja-JP"/>
        </w:rPr>
        <w:t>Renaissance style.</w:t>
      </w:r>
    </w:p>
    <w:p w14:paraId="25EF7CFE" w14:textId="77777777" w:rsidR="00C075B1" w:rsidRDefault="00C075B1" w:rsidP="008E7CFA">
      <w:pPr>
        <w:spacing w:line="360" w:lineRule="auto"/>
      </w:pPr>
    </w:p>
    <w:p w14:paraId="6F9AE327" w14:textId="52378019" w:rsidR="00D177EC" w:rsidRDefault="00D177EC" w:rsidP="008E7CFA">
      <w:pPr>
        <w:spacing w:line="360" w:lineRule="auto"/>
      </w:pPr>
      <w:r>
        <w:t xml:space="preserve">THE LATE </w:t>
      </w:r>
      <w:r w:rsidR="00A85CBB">
        <w:t>12TH</w:t>
      </w:r>
      <w:r>
        <w:t>-CENTURY BUILDING</w:t>
      </w:r>
    </w:p>
    <w:p w14:paraId="240948EE" w14:textId="77777777" w:rsidR="00D177EC" w:rsidRDefault="00D177EC" w:rsidP="008E7CFA">
      <w:pPr>
        <w:spacing w:line="360" w:lineRule="auto"/>
      </w:pPr>
    </w:p>
    <w:p w14:paraId="133F8C62" w14:textId="77777777" w:rsidR="005770AD" w:rsidRPr="005770AD" w:rsidRDefault="005770AD" w:rsidP="008E7CFA">
      <w:pPr>
        <w:spacing w:line="360" w:lineRule="auto"/>
        <w:rPr>
          <w:b/>
        </w:rPr>
      </w:pPr>
      <w:r>
        <w:rPr>
          <w:b/>
        </w:rPr>
        <w:t>Description</w:t>
      </w:r>
    </w:p>
    <w:p w14:paraId="07F94EBE" w14:textId="77777777" w:rsidR="005770AD" w:rsidRDefault="005770AD" w:rsidP="008E7CFA">
      <w:pPr>
        <w:spacing w:line="360" w:lineRule="auto"/>
      </w:pPr>
    </w:p>
    <w:p w14:paraId="024E78EA" w14:textId="2AC0F539" w:rsidR="00EC1424" w:rsidRPr="00D90495" w:rsidRDefault="00C075B1" w:rsidP="008E7CFA">
      <w:pPr>
        <w:spacing w:line="360" w:lineRule="auto"/>
      </w:pPr>
      <w:r>
        <w:t xml:space="preserve">The ‘Norman Hall’ forms an independent wing at the north-west corner of Horton Court, an extensive and multi-period building of later date. Immediately to the north lies the parish church, with a distance of only </w:t>
      </w:r>
      <w:r w:rsidR="00DD5347" w:rsidRPr="00691BC5">
        <w:t>5</w:t>
      </w:r>
      <w:r w:rsidRPr="00691BC5">
        <w:t>m</w:t>
      </w:r>
      <w:r>
        <w:t xml:space="preserve"> separat</w:t>
      </w:r>
      <w:r w:rsidR="0041050B">
        <w:t>ing it from the h</w:t>
      </w:r>
      <w:r w:rsidR="00866468">
        <w:t xml:space="preserve">all. The </w:t>
      </w:r>
      <w:r>
        <w:t xml:space="preserve">building </w:t>
      </w:r>
      <w:r w:rsidR="00866468">
        <w:t xml:space="preserve">is </w:t>
      </w:r>
      <w:r w:rsidR="00866468" w:rsidRPr="00D90495">
        <w:t>rectangular with</w:t>
      </w:r>
      <w:r w:rsidRPr="00D90495">
        <w:t xml:space="preserve"> an internal width of 5</w:t>
      </w:r>
      <w:r w:rsidR="005A7EEA" w:rsidRPr="00D90495">
        <w:t>.0</w:t>
      </w:r>
      <w:r w:rsidRPr="00D90495">
        <w:t>m and a length of 9.5m, and is oriented west-east, parallel to the church</w:t>
      </w:r>
      <w:r w:rsidR="00E5610E" w:rsidRPr="00D90495">
        <w:t xml:space="preserve"> (</w:t>
      </w:r>
      <w:r w:rsidR="00FE36D2" w:rsidRPr="00D90495">
        <w:t>Fig</w:t>
      </w:r>
      <w:r w:rsidR="00E5610E" w:rsidRPr="00D90495">
        <w:t>. 1)</w:t>
      </w:r>
      <w:r w:rsidRPr="00D90495">
        <w:t xml:space="preserve">.  </w:t>
      </w:r>
      <w:r w:rsidR="00EA6905" w:rsidRPr="00D90495">
        <w:t>Although there have been various</w:t>
      </w:r>
      <w:r w:rsidR="0041050B" w:rsidRPr="00D90495">
        <w:t xml:space="preserve"> later alterations, the h</w:t>
      </w:r>
      <w:r w:rsidR="00866468" w:rsidRPr="00D90495">
        <w:t>all</w:t>
      </w:r>
      <w:r w:rsidR="00EA6905" w:rsidRPr="00D90495">
        <w:t xml:space="preserve"> remains remarkably intact, with good evidence for its original form</w:t>
      </w:r>
      <w:r w:rsidR="00656715" w:rsidRPr="00D90495">
        <w:t>,</w:t>
      </w:r>
      <w:r w:rsidR="00EA6905" w:rsidRPr="00D90495">
        <w:t xml:space="preserve"> except </w:t>
      </w:r>
      <w:r w:rsidR="00A345F8" w:rsidRPr="00D90495">
        <w:t>at</w:t>
      </w:r>
      <w:r w:rsidR="00EA6905" w:rsidRPr="00D90495">
        <w:t xml:space="preserve"> the east end. </w:t>
      </w:r>
      <w:r w:rsidR="00C51318" w:rsidRPr="00D90495">
        <w:t>There are two fine round-arched doorways of matching type, set opposite each other in the north and south walls</w:t>
      </w:r>
      <w:r w:rsidR="00B35F5C" w:rsidRPr="00D90495">
        <w:t xml:space="preserve"> (</w:t>
      </w:r>
      <w:r w:rsidR="00FE36D2" w:rsidRPr="00D90495">
        <w:t>Fig</w:t>
      </w:r>
      <w:r w:rsidR="00B35F5C" w:rsidRPr="00D90495">
        <w:t xml:space="preserve"> </w:t>
      </w:r>
      <w:r w:rsidR="00F3417E" w:rsidRPr="00D90495">
        <w:t>4</w:t>
      </w:r>
      <w:r w:rsidR="00B35F5C" w:rsidRPr="00D90495">
        <w:t>a, b)</w:t>
      </w:r>
      <w:r w:rsidR="00C51318" w:rsidRPr="00D90495">
        <w:t xml:space="preserve">. </w:t>
      </w:r>
      <w:r w:rsidR="00C740D0" w:rsidRPr="00D90495">
        <w:t xml:space="preserve">Only the north wall retains its original windows, but there is clear evidence inside for the </w:t>
      </w:r>
      <w:r w:rsidR="00291AF4" w:rsidRPr="00D90495">
        <w:t>12</w:t>
      </w:r>
      <w:r w:rsidR="00C740D0" w:rsidRPr="00D90495">
        <w:t xml:space="preserve">th-century windows to the west and south walls. </w:t>
      </w:r>
      <w:r w:rsidR="000B79CE" w:rsidRPr="00D90495">
        <w:t>The interior initially formed a single volume</w:t>
      </w:r>
      <w:r w:rsidR="00691BC5" w:rsidRPr="00D90495">
        <w:t xml:space="preserve"> (see below)</w:t>
      </w:r>
      <w:r w:rsidR="00DD78FC" w:rsidRPr="00D90495">
        <w:t xml:space="preserve">, though a </w:t>
      </w:r>
      <w:r w:rsidR="00691BC5" w:rsidRPr="00D90495">
        <w:t xml:space="preserve">partial </w:t>
      </w:r>
      <w:r w:rsidR="00DD78FC" w:rsidRPr="00D90495">
        <w:t>fi</w:t>
      </w:r>
      <w:r w:rsidR="000B79CE" w:rsidRPr="00D90495">
        <w:t xml:space="preserve">rst floor was inserted in the </w:t>
      </w:r>
      <w:r w:rsidR="00291AF4" w:rsidRPr="00D90495">
        <w:t>13</w:t>
      </w:r>
      <w:r w:rsidR="00691BC5" w:rsidRPr="00D90495">
        <w:t xml:space="preserve">th to </w:t>
      </w:r>
      <w:r w:rsidR="00291AF4" w:rsidRPr="00D90495">
        <w:t>15</w:t>
      </w:r>
      <w:r w:rsidR="00691BC5" w:rsidRPr="00D90495">
        <w:t xml:space="preserve">th century, extended across the whole building in the </w:t>
      </w:r>
      <w:r w:rsidR="00291AF4" w:rsidRPr="00D90495">
        <w:t>18</w:t>
      </w:r>
      <w:r w:rsidR="000B79CE" w:rsidRPr="00D90495">
        <w:t>th century and remove</w:t>
      </w:r>
      <w:r w:rsidR="0043622E" w:rsidRPr="00D90495">
        <w:t xml:space="preserve">d in the early </w:t>
      </w:r>
      <w:r w:rsidR="00291AF4" w:rsidRPr="00D90495">
        <w:t>20</w:t>
      </w:r>
      <w:r w:rsidR="0043622E" w:rsidRPr="00D90495">
        <w:t>th</w:t>
      </w:r>
      <w:r w:rsidR="00DD78FC" w:rsidRPr="00D90495">
        <w:t>.</w:t>
      </w:r>
      <w:r w:rsidR="00EC1424" w:rsidRPr="00D90495">
        <w:t xml:space="preserve"> The walls are generally built of limestone rubble, with dressings of fine-grained limestone. </w:t>
      </w:r>
    </w:p>
    <w:p w14:paraId="561C915F" w14:textId="02F6E295" w:rsidR="00A345F8" w:rsidRDefault="00A345F8" w:rsidP="008E7CFA">
      <w:pPr>
        <w:spacing w:line="360" w:lineRule="auto"/>
        <w:ind w:firstLine="720"/>
      </w:pPr>
      <w:r w:rsidRPr="00D90495">
        <w:t>The south side forms the main entrance front from the house. The doorway is now approached by a short set of steps due to later terracing of the site, the gr</w:t>
      </w:r>
      <w:r w:rsidR="00DF7D7F" w:rsidRPr="00D90495">
        <w:t>ound sloping southwards</w:t>
      </w:r>
      <w:r w:rsidRPr="00D90495">
        <w:t xml:space="preserve"> away from the chu</w:t>
      </w:r>
      <w:r w:rsidR="00866468" w:rsidRPr="00D90495">
        <w:t>rch</w:t>
      </w:r>
      <w:r w:rsidR="00F3417E" w:rsidRPr="00D90495">
        <w:t xml:space="preserve"> (Fig</w:t>
      </w:r>
      <w:r w:rsidR="00A512E3" w:rsidRPr="00D90495">
        <w:t>s</w:t>
      </w:r>
      <w:r w:rsidR="00F3417E" w:rsidRPr="00D90495">
        <w:t xml:space="preserve"> </w:t>
      </w:r>
      <w:r w:rsidR="00A512E3" w:rsidRPr="00D90495">
        <w:t>2, 5</w:t>
      </w:r>
      <w:r w:rsidR="00F3417E" w:rsidRPr="00D90495">
        <w:t>)</w:t>
      </w:r>
      <w:r w:rsidR="00866468" w:rsidRPr="00D90495">
        <w:t>. The entrance</w:t>
      </w:r>
      <w:r w:rsidR="00866468">
        <w:t xml:space="preserve"> doorway, together</w:t>
      </w:r>
      <w:r>
        <w:t xml:space="preserve"> with its </w:t>
      </w:r>
      <w:r w:rsidR="006923BD">
        <w:t xml:space="preserve">matching </w:t>
      </w:r>
      <w:r>
        <w:t xml:space="preserve">counterpart to the north, is the finest feature of the building. </w:t>
      </w:r>
      <w:r w:rsidR="00C21A2D">
        <w:t>The doorway is round-arched and of two orders</w:t>
      </w:r>
      <w:r w:rsidR="00403694">
        <w:t>, all of very finely executed masonry</w:t>
      </w:r>
      <w:r w:rsidR="00C21A2D">
        <w:t>. The outer orde</w:t>
      </w:r>
      <w:r w:rsidR="00403694">
        <w:t xml:space="preserve">r is of sophisticated and very distinctive design. </w:t>
      </w:r>
      <w:r w:rsidR="00C21A2D">
        <w:t>I</w:t>
      </w:r>
      <w:r w:rsidR="006923BD">
        <w:t xml:space="preserve">t has keeled shafts with </w:t>
      </w:r>
      <w:r w:rsidR="00C21A2D">
        <w:t>moulded bases and trumpet scalloped capitals</w:t>
      </w:r>
      <w:r w:rsidR="00A512E3">
        <w:t xml:space="preserve"> (Fig. 6)</w:t>
      </w:r>
      <w:r w:rsidR="00C21A2D">
        <w:t xml:space="preserve">. The trumpets rise from an </w:t>
      </w:r>
      <w:r w:rsidR="00C21A2D">
        <w:lastRenderedPageBreak/>
        <w:t>astragal moulding</w:t>
      </w:r>
      <w:r w:rsidR="008F0516">
        <w:t xml:space="preserve"> and are also keeled, with two scallops on the front and side faces. The scallops are flat-fronted, with a small beaded edge moulding. The impost block above is cavetto</w:t>
      </w:r>
      <w:r w:rsidR="00D42E6D">
        <w:t>-</w:t>
      </w:r>
      <w:r w:rsidR="008F0516">
        <w:t>moulded</w:t>
      </w:r>
      <w:r w:rsidR="00A3402F">
        <w:t>, with a quirk above, the front faces to the south doorway (though not the north) having been cut back flush at a later date. The round-arched head has a single row of chevrons, angled outwards</w:t>
      </w:r>
      <w:r w:rsidR="0043622E">
        <w:t xml:space="preserve"> at 45°</w:t>
      </w:r>
      <w:r w:rsidR="00A3402F">
        <w:t xml:space="preserve">. The chevrons have a keeled moulding, and are set between two small roll-mouldings. The hood mould (like the impost blocks) has been cut back flush over the south doorway, but </w:t>
      </w:r>
      <w:r w:rsidR="006923BD">
        <w:t>survives to the north, with a shallow cavetto moulding. The inner order has a plain round arch of regular voussoirs, with a rounded quadrant moulding and quirk, the jambs cut back for a later door frame.</w:t>
      </w:r>
      <w:r w:rsidR="00226640">
        <w:t xml:space="preserve"> The priest’s door in the </w:t>
      </w:r>
      <w:r w:rsidR="00991EEF">
        <w:t>15</w:t>
      </w:r>
      <w:r w:rsidR="00226640">
        <w:t>th-century parish</w:t>
      </w:r>
      <w:r w:rsidR="006923BD">
        <w:t xml:space="preserve"> </w:t>
      </w:r>
      <w:r w:rsidR="00226640">
        <w:t xml:space="preserve">church lies immediately opposite the south doorway of the ‘Norman Hall’. </w:t>
      </w:r>
      <w:r w:rsidR="00403694">
        <w:t>The north doorway</w:t>
      </w:r>
      <w:r w:rsidR="00226640">
        <w:t xml:space="preserve"> of the hall</w:t>
      </w:r>
      <w:r w:rsidR="00403694">
        <w:t xml:space="preserve"> is of exactly the same design, the only difference being that its original height was 100mm shorter (now emphasi</w:t>
      </w:r>
      <w:r w:rsidR="00D42E6D">
        <w:t>z</w:t>
      </w:r>
      <w:r w:rsidR="00403694">
        <w:t xml:space="preserve">ed by a raised ground level). Apart from minor damage and erosion, both doorways survive in remarkably intact condition, with no later replacement stonework. </w:t>
      </w:r>
    </w:p>
    <w:p w14:paraId="5BF52243" w14:textId="7A854AF8" w:rsidR="00AB2469" w:rsidRDefault="00210161" w:rsidP="008E7CFA">
      <w:pPr>
        <w:spacing w:line="360" w:lineRule="auto"/>
        <w:ind w:firstLine="720"/>
      </w:pPr>
      <w:r>
        <w:t>The main walling of the south front is of irregularly coursed stone rubble. Set into this rubble stone over the doorway is a former weathering for a porch roof, later cut back flush, and also truncated on the left side</w:t>
      </w:r>
      <w:r w:rsidR="00A84723">
        <w:t xml:space="preserve"> by an inserted opening, now blocked</w:t>
      </w:r>
      <w:r w:rsidR="0041368D">
        <w:t xml:space="preserve"> </w:t>
      </w:r>
      <w:r w:rsidR="0041368D" w:rsidRPr="00D90495">
        <w:t>(</w:t>
      </w:r>
      <w:r w:rsidR="00FE36D2" w:rsidRPr="00D90495">
        <w:t>Fig</w:t>
      </w:r>
      <w:r w:rsidR="0041368D" w:rsidRPr="00D90495">
        <w:t xml:space="preserve">. </w:t>
      </w:r>
      <w:r w:rsidR="00F3417E" w:rsidRPr="00D90495">
        <w:t>5</w:t>
      </w:r>
      <w:r w:rsidR="00243261" w:rsidRPr="00D90495">
        <w:t>)</w:t>
      </w:r>
      <w:r w:rsidRPr="00D90495">
        <w:t>. It</w:t>
      </w:r>
      <w:r>
        <w:t xml:space="preserve"> is uncle</w:t>
      </w:r>
      <w:r w:rsidR="00211231">
        <w:t xml:space="preserve">ar if the weathering is an </w:t>
      </w:r>
      <w:r>
        <w:t xml:space="preserve">insertion, </w:t>
      </w:r>
      <w:r w:rsidR="00F442FC">
        <w:t xml:space="preserve">though the work is well-executed if the porch was a later addition. Running along the base of the wall, at the original ground level, are sections of the original plinth, of dressed stone with a small chamfer. </w:t>
      </w:r>
      <w:r w:rsidR="00AB2469">
        <w:t>At the south-west corner is a feature of particular interest: an attached shaft</w:t>
      </w:r>
      <w:r w:rsidR="006C01D3">
        <w:t xml:space="preserve"> with keeled moulding,</w:t>
      </w:r>
      <w:r w:rsidR="00AB2469">
        <w:t xml:space="preserve"> set within a recessed corner. The quoins and shaft are of well-dressed ashlar, with very fine joints. The shaft has an eroded moulding at the base and is truncated halfway up the wall, the whole upper corner having been rebuilt later in association with the creation of a vice stair. The blocked narrow doorway between the south-west corner and the entrance door was inserted </w:t>
      </w:r>
      <w:r w:rsidR="000F3CD8">
        <w:t xml:space="preserve">to serve </w:t>
      </w:r>
      <w:r w:rsidR="00AB2469">
        <w:t xml:space="preserve">this stair. </w:t>
      </w:r>
      <w:r w:rsidR="00620066">
        <w:t>The doorway surround is plain and square, with a two-centred arched head. The rebate and pintle hinges show</w:t>
      </w:r>
      <w:r w:rsidR="0000426D">
        <w:t>s</w:t>
      </w:r>
      <w:r w:rsidR="00620066">
        <w:t xml:space="preserve"> that the door, unexpectedly, opened outwards. Inside, the vice stair has been removed and the doorway </w:t>
      </w:r>
      <w:r w:rsidR="000F3CD8">
        <w:t xml:space="preserve">area </w:t>
      </w:r>
      <w:r w:rsidR="0043622E">
        <w:t xml:space="preserve">at ground floor </w:t>
      </w:r>
      <w:r w:rsidR="000F3CD8">
        <w:t xml:space="preserve">re-faced with rubble, but a stone door jamb remains at first-floor level to the west gable, its skewed angle indicating </w:t>
      </w:r>
      <w:r w:rsidR="000F3CD8">
        <w:lastRenderedPageBreak/>
        <w:t>that it led out of the lost</w:t>
      </w:r>
      <w:r w:rsidR="00211231">
        <w:t xml:space="preserve"> vice. The former stair is </w:t>
      </w:r>
      <w:r w:rsidR="000F3CD8">
        <w:t xml:space="preserve">shown on a surviving survey sketch made </w:t>
      </w:r>
      <w:r w:rsidR="000F3CD8" w:rsidRPr="00D90495">
        <w:t>by Buckler</w:t>
      </w:r>
      <w:r w:rsidR="00243261" w:rsidRPr="00D90495">
        <w:t xml:space="preserve"> (</w:t>
      </w:r>
      <w:r w:rsidR="00FE36D2" w:rsidRPr="00D90495">
        <w:t>Fig</w:t>
      </w:r>
      <w:r w:rsidR="00243261" w:rsidRPr="00D90495">
        <w:t xml:space="preserve"> </w:t>
      </w:r>
      <w:r w:rsidR="00983E7C" w:rsidRPr="00D90495">
        <w:t>6</w:t>
      </w:r>
      <w:r w:rsidR="00243261" w:rsidRPr="00D90495">
        <w:t>)</w:t>
      </w:r>
      <w:r w:rsidR="000F3CD8" w:rsidRPr="00D90495">
        <w:t>.</w:t>
      </w:r>
      <w:r w:rsidR="00D36A0F" w:rsidRPr="00D90495">
        <w:rPr>
          <w:rStyle w:val="FootnoteReference"/>
        </w:rPr>
        <w:footnoteReference w:id="20"/>
      </w:r>
    </w:p>
    <w:p w14:paraId="6629E139" w14:textId="10BFC775" w:rsidR="003617CF" w:rsidRDefault="009122E1" w:rsidP="008E7CFA">
      <w:pPr>
        <w:spacing w:line="360" w:lineRule="auto"/>
        <w:ind w:firstLine="720"/>
      </w:pPr>
      <w:r>
        <w:t>Set high up a</w:t>
      </w:r>
      <w:r w:rsidR="00211231">
        <w:t xml:space="preserve">bove the blocked stair doorway is a small round-arched window. </w:t>
      </w:r>
      <w:r w:rsidR="003617CF">
        <w:t>The head, cut from a single stone, and several jambs are of the same form as the two original windows in the north wall, but the opening has been truncated and re-set at a higher level, no doubt to acc</w:t>
      </w:r>
      <w:r>
        <w:t>ommodate the inserted stair. A</w:t>
      </w:r>
      <w:r w:rsidR="003617CF">
        <w:t xml:space="preserve"> roll-moulded </w:t>
      </w:r>
      <w:r>
        <w:t xml:space="preserve">bottom </w:t>
      </w:r>
      <w:r w:rsidR="003617CF">
        <w:t>jamb stone survives inside to indicate the or</w:t>
      </w:r>
      <w:r w:rsidR="003A3461">
        <w:t xml:space="preserve">iginal location of this window. </w:t>
      </w:r>
      <w:r>
        <w:t xml:space="preserve">To the east of the entrance door, there are now two stone-mullioned windows to the ground floor and two more to the first floor. </w:t>
      </w:r>
      <w:r w:rsidR="00D24F9C">
        <w:t>These stone windows were inserted in 1884, replacing previous sash windows.</w:t>
      </w:r>
      <w:r w:rsidR="00D24F9C">
        <w:rPr>
          <w:rStyle w:val="FootnoteReference"/>
        </w:rPr>
        <w:footnoteReference w:id="21"/>
      </w:r>
      <w:r w:rsidR="003A3461">
        <w:t xml:space="preserve"> Inside, the location of one original </w:t>
      </w:r>
      <w:r w:rsidR="00663F03">
        <w:t>12</w:t>
      </w:r>
      <w:r w:rsidR="003A3461">
        <w:t xml:space="preserve">th-century window can be seen, </w:t>
      </w:r>
      <w:r w:rsidR="00D24F9C">
        <w:t xml:space="preserve">with a roll-moulded bottom jamb, </w:t>
      </w:r>
      <w:r w:rsidR="003A3461">
        <w:t>and a short</w:t>
      </w:r>
      <w:r w:rsidR="00D24F9C">
        <w:t xml:space="preserve"> section of vertical straight</w:t>
      </w:r>
      <w:r w:rsidR="0043622E">
        <w:t xml:space="preserve"> jointing</w:t>
      </w:r>
      <w:r w:rsidR="003A3461">
        <w:t xml:space="preserve"> indicates the </w:t>
      </w:r>
      <w:r w:rsidR="0043622E">
        <w:t xml:space="preserve">likely </w:t>
      </w:r>
      <w:r w:rsidR="003A3461">
        <w:t xml:space="preserve">position of a second window. </w:t>
      </w:r>
    </w:p>
    <w:p w14:paraId="22362D15" w14:textId="030071A1" w:rsidR="00A84723" w:rsidRDefault="003A3461" w:rsidP="008E7CFA">
      <w:pPr>
        <w:spacing w:line="360" w:lineRule="auto"/>
        <w:ind w:firstLine="720"/>
      </w:pPr>
      <w:r>
        <w:t>The west gable is covered with cement render externally, but a small area of render was removed recently, showing that the walling is of rubble set in clay mortar, not ashlar</w:t>
      </w:r>
      <w:r w:rsidR="00983E7C">
        <w:t xml:space="preserve"> (Fig. </w:t>
      </w:r>
      <w:r w:rsidR="00466551">
        <w:t>2)</w:t>
      </w:r>
      <w:r>
        <w:t>.</w:t>
      </w:r>
      <w:r>
        <w:rPr>
          <w:rStyle w:val="FootnoteReference"/>
        </w:rPr>
        <w:footnoteReference w:id="22"/>
      </w:r>
      <w:r>
        <w:t xml:space="preserve"> </w:t>
      </w:r>
      <w:r w:rsidR="006778B7">
        <w:t xml:space="preserve">A later buttress has been added at the north-west corner, and the west face here is covered by render, so it is not possible to say whether this corner had an attached shaft like that to the south-west. The gable has a large mullioned and </w:t>
      </w:r>
      <w:proofErr w:type="spellStart"/>
      <w:r w:rsidR="006778B7">
        <w:t>transomed</w:t>
      </w:r>
      <w:proofErr w:type="spellEnd"/>
      <w:r w:rsidR="006778B7">
        <w:t xml:space="preserve"> window</w:t>
      </w:r>
      <w:r w:rsidR="002452A7">
        <w:t xml:space="preserve">, inserted as part of the 1884 alterations. Inside, the splayed window reveals incorporate the roll-moulded jambs of the original </w:t>
      </w:r>
      <w:r w:rsidR="00663F03">
        <w:t>12</w:t>
      </w:r>
      <w:r w:rsidR="002452A7">
        <w:t>th-century window, re-set at some earlier date</w:t>
      </w:r>
      <w:r w:rsidR="00466551">
        <w:t xml:space="preserve"> (Fig. 8)</w:t>
      </w:r>
      <w:r w:rsidR="002452A7">
        <w:t xml:space="preserve">. The original location of the window, a little narrower than the current opening, is indicated by the survival </w:t>
      </w:r>
      <w:r w:rsidR="002452A7">
        <w:rPr>
          <w:i/>
        </w:rPr>
        <w:t>in situ</w:t>
      </w:r>
      <w:r w:rsidR="002452A7">
        <w:t xml:space="preserve">, once again, of the roll-moulded bottom jambs. </w:t>
      </w:r>
    </w:p>
    <w:p w14:paraId="3ADBEFAF" w14:textId="652189E7" w:rsidR="003A3461" w:rsidRDefault="00AE4F0C" w:rsidP="008E7CFA">
      <w:pPr>
        <w:spacing w:line="360" w:lineRule="auto"/>
        <w:ind w:firstLine="720"/>
      </w:pPr>
      <w:r>
        <w:t>The north wall survives in very complete state.</w:t>
      </w:r>
      <w:r w:rsidR="00EC1424">
        <w:t xml:space="preserve"> </w:t>
      </w:r>
      <w:r>
        <w:t>The fine north doorway matches that to the south, as described above. To the east of the doorway are two original windows, set quite high up in the wall. The round-arched heads are cut from a single block</w:t>
      </w:r>
      <w:r w:rsidR="0088370B">
        <w:t xml:space="preserve"> of stone, </w:t>
      </w:r>
      <w:r w:rsidR="0043622E">
        <w:t>with plain chamfering that</w:t>
      </w:r>
      <w:r w:rsidR="0088370B">
        <w:t xml:space="preserve"> continues down the</w:t>
      </w:r>
      <w:r>
        <w:t xml:space="preserve"> jambs</w:t>
      </w:r>
      <w:r w:rsidR="0088370B">
        <w:t>. The windows have no other decoration or moulding, their plain treatment contrasting to that of the doorway. Internally, the windows have splayed reveals with roll-mould</w:t>
      </w:r>
      <w:r w:rsidR="00D3280E">
        <w:t xml:space="preserve">ing to the round arch and jambs, all intact except for the </w:t>
      </w:r>
      <w:r w:rsidR="008E7CFA">
        <w:t>s</w:t>
      </w:r>
      <w:r w:rsidR="0088370B">
        <w:t>ills</w:t>
      </w:r>
      <w:r w:rsidR="00D3280E">
        <w:t>, which</w:t>
      </w:r>
      <w:r w:rsidR="0088370B">
        <w:t xml:space="preserve"> have been built up wher</w:t>
      </w:r>
      <w:r w:rsidR="00D47F38">
        <w:t>e the first floor was inserted</w:t>
      </w:r>
      <w:r w:rsidR="00466551">
        <w:t xml:space="preserve"> (Fig. 9)</w:t>
      </w:r>
      <w:r w:rsidR="00D47F38">
        <w:t xml:space="preserve">. The north wall has ashlar facing externally, </w:t>
      </w:r>
      <w:r w:rsidR="00D47F38">
        <w:lastRenderedPageBreak/>
        <w:t>an unexpected feature given the use of rubble stone elsewhere</w:t>
      </w:r>
      <w:r w:rsidR="00367514">
        <w:t>.</w:t>
      </w:r>
      <w:r w:rsidR="00466551">
        <w:t xml:space="preserve"> </w:t>
      </w:r>
      <w:r w:rsidR="00D47F38">
        <w:t>The ashlar facing has rather irregularly sized blocks, with some tapering courses and a discontinuity over the doorway. Unlike the finely-finished stone dressings elsewhere, most of the ashlar is more crudely finished, with rough diagonal dressing marks</w:t>
      </w:r>
      <w:r w:rsidR="00367514">
        <w:t xml:space="preserve"> (Fig. 10).</w:t>
      </w:r>
      <w:r w:rsidR="00D47F38">
        <w:t xml:space="preserve"> </w:t>
      </w:r>
      <w:r w:rsidR="0007349F">
        <w:t xml:space="preserve">It seems that this facing, although original </w:t>
      </w:r>
      <w:r w:rsidR="00663F03">
        <w:t>12</w:t>
      </w:r>
      <w:r w:rsidR="0007349F">
        <w:t xml:space="preserve">th-century work, incorporates re-used material, rather than being all newly-cut like the main dressings. Three buttresses have been added at some stage to the north wall, perhaps to reflect the buttresses on the adjoining church. </w:t>
      </w:r>
      <w:r w:rsidR="00933F27">
        <w:t xml:space="preserve">A stone over the doorway with the arms of Robert Neville, </w:t>
      </w:r>
      <w:r w:rsidR="00933F27" w:rsidRPr="000C1456">
        <w:t>Bishop of Salisbur</w:t>
      </w:r>
      <w:r w:rsidR="00F5538F">
        <w:t>y (1427–</w:t>
      </w:r>
      <w:r w:rsidR="0043622E">
        <w:t>37</w:t>
      </w:r>
      <w:r w:rsidR="00933F27">
        <w:t xml:space="preserve">) may have been inserted at the same time. </w:t>
      </w:r>
      <w:r w:rsidR="0007349F">
        <w:t xml:space="preserve">The east buttress unfortunately obscures the north-east corner, so the original treatment of the east end here is unclear. The south-east corner has similarly been obscured by </w:t>
      </w:r>
      <w:r w:rsidR="00694BAB">
        <w:t xml:space="preserve">the west range of the main house, which abuts here, including the </w:t>
      </w:r>
      <w:r w:rsidR="0007349F">
        <w:t xml:space="preserve">insertion of ashlar linings for </w:t>
      </w:r>
      <w:r w:rsidR="00694BAB">
        <w:t xml:space="preserve">a doorway. </w:t>
      </w:r>
    </w:p>
    <w:p w14:paraId="2D89F370" w14:textId="0F49DDD9" w:rsidR="00667FBE" w:rsidRDefault="00277DD8" w:rsidP="008B2038">
      <w:pPr>
        <w:spacing w:line="360" w:lineRule="auto"/>
        <w:ind w:firstLine="720"/>
      </w:pPr>
      <w:r>
        <w:t>Turning to the interior, the wholesale removal of plasterwork during later re</w:t>
      </w:r>
      <w:r w:rsidR="00933F27">
        <w:t xml:space="preserve">storation work has revealed various </w:t>
      </w:r>
      <w:r>
        <w:t xml:space="preserve">features. </w:t>
      </w:r>
      <w:r w:rsidR="00933F27">
        <w:t xml:space="preserve">A moulded string-course, hacked back flush to the north and south walls, but surviving to the </w:t>
      </w:r>
      <w:r w:rsidR="00182684">
        <w:t>we</w:t>
      </w:r>
      <w:r w:rsidR="00933F27">
        <w:t>st wall, ran around the building at the base of the windows</w:t>
      </w:r>
      <w:r w:rsidR="00367514">
        <w:t xml:space="preserve"> (Figs 8, 9)</w:t>
      </w:r>
      <w:r w:rsidR="00933F27">
        <w:t xml:space="preserve">. </w:t>
      </w:r>
      <w:r w:rsidR="00182684">
        <w:t>It had a small roll moulding below and a larger roll moulding above, with a projection of around 100mm. The upper roll has had a later square seating cut into the top of it. The string course was carried up and o</w:t>
      </w:r>
      <w:r w:rsidR="00751398">
        <w:t xml:space="preserve">ver the south doorway as a </w:t>
      </w:r>
      <w:r w:rsidR="000260B3">
        <w:t>hood-mould</w:t>
      </w:r>
      <w:r w:rsidR="00182684">
        <w:t xml:space="preserve">, though it stopped either side of the slightly lower north doorway. Both the north and south doorways have segmental inner arches with well-cut voussoirs and square jambs. </w:t>
      </w:r>
      <w:r w:rsidR="000260B3">
        <w:t xml:space="preserve">The taller south doorway also has a relieving arch above, of </w:t>
      </w:r>
      <w:r w:rsidR="000260B3" w:rsidRPr="00D90495">
        <w:t>rubble voussoirs</w:t>
      </w:r>
      <w:r w:rsidR="00E77397" w:rsidRPr="00D90495">
        <w:t xml:space="preserve"> (</w:t>
      </w:r>
      <w:r w:rsidR="00FE36D2" w:rsidRPr="00D90495">
        <w:t>Fig.</w:t>
      </w:r>
      <w:r w:rsidR="00E77397" w:rsidRPr="00D90495">
        <w:t xml:space="preserve"> </w:t>
      </w:r>
      <w:r w:rsidR="00367514" w:rsidRPr="00D90495">
        <w:t>5</w:t>
      </w:r>
      <w:r w:rsidR="00E77397" w:rsidRPr="00D90495">
        <w:t>)</w:t>
      </w:r>
      <w:r w:rsidR="000260B3" w:rsidRPr="00D90495">
        <w:t>. An</w:t>
      </w:r>
      <w:r w:rsidR="000260B3">
        <w:t xml:space="preserve"> important piece of evi</w:t>
      </w:r>
      <w:r w:rsidR="00480B57">
        <w:t xml:space="preserve">dence is that </w:t>
      </w:r>
      <w:r w:rsidR="00751398">
        <w:t xml:space="preserve">the original stone jambs of both doorways show an absence of </w:t>
      </w:r>
      <w:r w:rsidR="000260B3">
        <w:t xml:space="preserve">the draw-bar sockets which are typical of early residential buildings. In both cases, the door jambs have been cut out later to allow </w:t>
      </w:r>
      <w:r w:rsidR="00F5538F">
        <w:t xml:space="preserve">the </w:t>
      </w:r>
      <w:r w:rsidR="000260B3">
        <w:t>insertion of a drop door</w:t>
      </w:r>
      <w:r w:rsidR="00B561A5">
        <w:t>-</w:t>
      </w:r>
      <w:r w:rsidR="000260B3">
        <w:t xml:space="preserve">bar. </w:t>
      </w:r>
      <w:r w:rsidR="00182684">
        <w:t xml:space="preserve"> </w:t>
      </w:r>
      <w:r w:rsidR="005770AD">
        <w:t>T</w:t>
      </w:r>
      <w:r w:rsidR="00307F39">
        <w:t xml:space="preserve">he west </w:t>
      </w:r>
      <w:r w:rsidR="005770AD">
        <w:t xml:space="preserve">gable </w:t>
      </w:r>
      <w:r w:rsidR="00307F39">
        <w:t xml:space="preserve">window was </w:t>
      </w:r>
      <w:r w:rsidR="005770AD">
        <w:t xml:space="preserve">evidently rather different to the windows in </w:t>
      </w:r>
      <w:r w:rsidR="00307F39">
        <w:t xml:space="preserve">the north and south walls. </w:t>
      </w:r>
      <w:r w:rsidR="005770AD">
        <w:t xml:space="preserve">It was wider, with an internal width of </w:t>
      </w:r>
      <w:r w:rsidR="005770AD" w:rsidRPr="005F6A6D">
        <w:rPr>
          <w:i/>
        </w:rPr>
        <w:t>c.</w:t>
      </w:r>
      <w:r w:rsidR="005770AD">
        <w:t xml:space="preserve">1300mm compared to </w:t>
      </w:r>
      <w:r w:rsidR="005770AD" w:rsidRPr="005F6A6D">
        <w:rPr>
          <w:i/>
        </w:rPr>
        <w:t>c</w:t>
      </w:r>
      <w:r w:rsidR="005770AD">
        <w:t>.900mm for the side walls, and also considerably taller. The re-set jambs also show that the roll-moulding did not run continuously around the window head. The roll-moulding here has a stop-end, so although the detail has been hacked back, it is evident there was a capital or</w:t>
      </w:r>
      <w:r w:rsidR="00480B57">
        <w:t xml:space="preserve"> impost block. It seems likely </w:t>
      </w:r>
      <w:r w:rsidR="005770AD">
        <w:t xml:space="preserve">that this wider window had a central mullion and sub-arches.  </w:t>
      </w:r>
    </w:p>
    <w:p w14:paraId="402C42C9" w14:textId="48943178" w:rsidR="00DD78FC" w:rsidRPr="00D90495" w:rsidRDefault="005770AD" w:rsidP="008B2038">
      <w:pPr>
        <w:spacing w:line="360" w:lineRule="auto"/>
        <w:ind w:firstLine="720"/>
      </w:pPr>
      <w:r>
        <w:t xml:space="preserve">Unfortunately, </w:t>
      </w:r>
      <w:r w:rsidR="00F93ADD">
        <w:t>as on the exterior, the original arrangement inside the building at the east end is unclear</w:t>
      </w:r>
      <w:r w:rsidR="00D20D87">
        <w:t xml:space="preserve">. The east gable appears to have been rebuilt, with no </w:t>
      </w:r>
      <w:r w:rsidR="00D20D87">
        <w:lastRenderedPageBreak/>
        <w:t>evidence of bonding at the internal corners. A recess at high level in the north-east corner, possibl</w:t>
      </w:r>
      <w:r w:rsidR="00751398">
        <w:t>y a putlog hole, incorporates</w:t>
      </w:r>
      <w:r w:rsidR="00D20D87">
        <w:t xml:space="preserve"> a piece of roll-moulded stone, evidently re-used </w:t>
      </w:r>
      <w:r w:rsidR="00A85CBB" w:rsidRPr="00D90495">
        <w:t>12th</w:t>
      </w:r>
      <w:r w:rsidR="00D20D87" w:rsidRPr="00D90495">
        <w:t>-century fabric. A large chimneybreast was inserted in 1849</w:t>
      </w:r>
      <w:r w:rsidR="00F52A25" w:rsidRPr="00D90495">
        <w:t xml:space="preserve"> when a churchwardens’ room was created on the ground floor.</w:t>
      </w:r>
      <w:r w:rsidR="00F52A25" w:rsidRPr="00D90495">
        <w:rPr>
          <w:rStyle w:val="FootnoteReference"/>
        </w:rPr>
        <w:footnoteReference w:id="23"/>
      </w:r>
      <w:r w:rsidR="00F52A25" w:rsidRPr="00D90495">
        <w:t xml:space="preserve"> This was re-worked in the 1920s, when the existing massive granite fireplace was imported.</w:t>
      </w:r>
      <w:r w:rsidR="00F52A25" w:rsidRPr="00D90495">
        <w:rPr>
          <w:rStyle w:val="FootnoteReference"/>
        </w:rPr>
        <w:footnoteReference w:id="24"/>
      </w:r>
      <w:r w:rsidR="00F52A25" w:rsidRPr="00D90495">
        <w:t xml:space="preserve"> </w:t>
      </w:r>
      <w:r w:rsidR="00D20D87" w:rsidRPr="00D90495">
        <w:t xml:space="preserve"> </w:t>
      </w:r>
      <w:r w:rsidR="00DC49EB" w:rsidRPr="00D90495">
        <w:t xml:space="preserve">The roof structure </w:t>
      </w:r>
      <w:r w:rsidR="00265E4B" w:rsidRPr="00D90495">
        <w:t xml:space="preserve">(Fig. 3) </w:t>
      </w:r>
      <w:r w:rsidR="00DC49EB" w:rsidRPr="00D90495">
        <w:t xml:space="preserve">is a later replacement, </w:t>
      </w:r>
      <w:r w:rsidR="009919DE" w:rsidRPr="00D90495">
        <w:t>though the Harcourts, who had high-level access for their inspection, noted that it is smoke-blackened.</w:t>
      </w:r>
      <w:r w:rsidR="009919DE" w:rsidRPr="00D90495">
        <w:rPr>
          <w:rStyle w:val="FootnoteReference"/>
        </w:rPr>
        <w:footnoteReference w:id="25"/>
      </w:r>
      <w:r w:rsidR="009919DE" w:rsidRPr="00D90495">
        <w:t xml:space="preserve"> This indicates that the building served </w:t>
      </w:r>
      <w:r w:rsidR="00691BC5" w:rsidRPr="00D90495">
        <w:t xml:space="preserve">at some stage </w:t>
      </w:r>
      <w:r w:rsidR="009919DE" w:rsidRPr="00D90495">
        <w:t xml:space="preserve">as an open hall, though whether that use was original is considered </w:t>
      </w:r>
      <w:r w:rsidR="009A64DE" w:rsidRPr="00D90495">
        <w:t>further below.</w:t>
      </w:r>
    </w:p>
    <w:p w14:paraId="290AE879" w14:textId="77777777" w:rsidR="0018014B" w:rsidRPr="00D90495" w:rsidRDefault="0018014B" w:rsidP="008E7CFA">
      <w:pPr>
        <w:spacing w:line="360" w:lineRule="auto"/>
      </w:pPr>
    </w:p>
    <w:p w14:paraId="22853A35" w14:textId="3160E4E3" w:rsidR="009A64DE" w:rsidRPr="00D90495" w:rsidRDefault="004F1305" w:rsidP="008E7CFA">
      <w:pPr>
        <w:spacing w:line="360" w:lineRule="auto"/>
        <w:rPr>
          <w:b/>
        </w:rPr>
      </w:pPr>
      <w:r w:rsidRPr="00D90495">
        <w:rPr>
          <w:b/>
        </w:rPr>
        <w:t>Interpretation</w:t>
      </w:r>
      <w:r w:rsidR="0018014B" w:rsidRPr="00D90495">
        <w:rPr>
          <w:b/>
        </w:rPr>
        <w:t xml:space="preserve"> </w:t>
      </w:r>
      <w:r w:rsidR="009A3726" w:rsidRPr="00D90495">
        <w:rPr>
          <w:b/>
        </w:rPr>
        <w:t xml:space="preserve">and date </w:t>
      </w:r>
      <w:r w:rsidR="0018014B" w:rsidRPr="00D90495">
        <w:rPr>
          <w:b/>
        </w:rPr>
        <w:t>of the original building</w:t>
      </w:r>
    </w:p>
    <w:p w14:paraId="6C16CB55" w14:textId="77777777" w:rsidR="009A64DE" w:rsidRPr="00D90495" w:rsidRDefault="009A64DE" w:rsidP="008E7CFA">
      <w:pPr>
        <w:spacing w:line="360" w:lineRule="auto"/>
      </w:pPr>
    </w:p>
    <w:p w14:paraId="4183720B" w14:textId="0400CF07" w:rsidR="00480B57" w:rsidRDefault="004F1305" w:rsidP="008E7CFA">
      <w:pPr>
        <w:spacing w:line="360" w:lineRule="auto"/>
      </w:pPr>
      <w:r w:rsidRPr="00D90495">
        <w:t>T</w:t>
      </w:r>
      <w:r w:rsidR="005C7F21" w:rsidRPr="00D90495">
        <w:t>he</w:t>
      </w:r>
      <w:r w:rsidR="00E77397" w:rsidRPr="00D90495">
        <w:t xml:space="preserve"> </w:t>
      </w:r>
      <w:r w:rsidRPr="00D90495">
        <w:t xml:space="preserve">plans and an internal </w:t>
      </w:r>
      <w:proofErr w:type="spellStart"/>
      <w:r w:rsidRPr="00D90495">
        <w:t>elevationsof</w:t>
      </w:r>
      <w:proofErr w:type="spellEnd"/>
      <w:r w:rsidRPr="00D90495">
        <w:t xml:space="preserve"> the </w:t>
      </w:r>
      <w:r w:rsidR="00E77397" w:rsidRPr="00D90495">
        <w:t xml:space="preserve">original building </w:t>
      </w:r>
      <w:r w:rsidRPr="00D90495">
        <w:t>are</w:t>
      </w:r>
      <w:r w:rsidR="00E77397" w:rsidRPr="00D90495">
        <w:t xml:space="preserve"> shown at </w:t>
      </w:r>
      <w:r w:rsidR="00FE36D2" w:rsidRPr="00D90495">
        <w:t>Fig</w:t>
      </w:r>
      <w:r w:rsidR="000004D6" w:rsidRPr="00D90495">
        <w:t>s</w:t>
      </w:r>
      <w:r w:rsidR="00480B57" w:rsidRPr="00D90495">
        <w:t xml:space="preserve"> </w:t>
      </w:r>
      <w:r w:rsidR="00265E4B" w:rsidRPr="00D90495">
        <w:t>7</w:t>
      </w:r>
      <w:r w:rsidR="00A6797E" w:rsidRPr="00D90495">
        <w:t xml:space="preserve">, </w:t>
      </w:r>
      <w:r w:rsidRPr="00D90495">
        <w:t>12</w:t>
      </w:r>
      <w:r w:rsidR="00A6797E" w:rsidRPr="00D90495">
        <w:t>A</w:t>
      </w:r>
      <w:r w:rsidR="00480B57" w:rsidRPr="00D90495">
        <w:t xml:space="preserve">. The two fine doorways led into a </w:t>
      </w:r>
      <w:r w:rsidR="00571338" w:rsidRPr="00D90495">
        <w:t xml:space="preserve">single tall, </w:t>
      </w:r>
      <w:r w:rsidR="00480B57" w:rsidRPr="00D90495">
        <w:t xml:space="preserve">rectangular space. Rather than entering the building at the west end, the doors are set opposite each other and one bay </w:t>
      </w:r>
      <w:r w:rsidR="00571338" w:rsidRPr="00D90495">
        <w:t>to the east. The principal entrance to the south side was rather taller, perhaps with a porch</w:t>
      </w:r>
      <w:r w:rsidR="00571338">
        <w:t xml:space="preserve"> from the beginning. The south side was also distinguished by an attached shaft, rising the full height of the south-west corner. The north side may not have received this decoration, but was the only wall with full ashlar facing, so was clearly considered important. The windows were all placed at high level, set directly above a moulded internal string course. Two </w:t>
      </w:r>
      <w:r w:rsidR="007F0C20">
        <w:t xml:space="preserve">narrow windows </w:t>
      </w:r>
      <w:r w:rsidR="00571338">
        <w:t xml:space="preserve">in the north wall were matched by two to the south, </w:t>
      </w:r>
      <w:r w:rsidR="007F0C20">
        <w:t>and another</w:t>
      </w:r>
      <w:r w:rsidR="00571338">
        <w:t xml:space="preserve"> to the south-west. The west gable had a wider and taller window of two lights</w:t>
      </w:r>
      <w:r w:rsidR="009A3726">
        <w:t>, indicating that it lit a large, open space</w:t>
      </w:r>
      <w:r w:rsidR="00571338">
        <w:t xml:space="preserve">. The roof </w:t>
      </w:r>
      <w:r w:rsidR="009A3726">
        <w:t xml:space="preserve">hence </w:t>
      </w:r>
      <w:r w:rsidR="00751398">
        <w:t>probably had common rafter trusses</w:t>
      </w:r>
      <w:r w:rsidR="009A3726">
        <w:t xml:space="preserve"> of open form (probably with </w:t>
      </w:r>
      <w:proofErr w:type="spellStart"/>
      <w:r w:rsidR="009A3726">
        <w:t>soulaces</w:t>
      </w:r>
      <w:proofErr w:type="spellEnd"/>
      <w:r w:rsidR="009A3726">
        <w:t xml:space="preserve"> or scissor-bracing).</w:t>
      </w:r>
      <w:r w:rsidR="00642668">
        <w:t xml:space="preserve"> </w:t>
      </w:r>
      <w:r w:rsidR="009A3726">
        <w:t>The wholesale rebuilding of the east gable suggests the original building continued further east.</w:t>
      </w:r>
    </w:p>
    <w:p w14:paraId="1C7EECE3" w14:textId="2C8F3D85" w:rsidR="004D12E4" w:rsidRDefault="007C3A9A" w:rsidP="00067A12">
      <w:pPr>
        <w:spacing w:line="360" w:lineRule="auto"/>
        <w:ind w:firstLine="720"/>
      </w:pPr>
      <w:r>
        <w:t>T</w:t>
      </w:r>
      <w:r w:rsidR="00625B8E">
        <w:t>he doorways and the</w:t>
      </w:r>
      <w:r w:rsidR="007F0C20">
        <w:t xml:space="preserve"> attached </w:t>
      </w:r>
      <w:r w:rsidR="00642668">
        <w:t xml:space="preserve">shaft </w:t>
      </w:r>
      <w:r w:rsidR="00625B8E">
        <w:t xml:space="preserve">to the south-west corner </w:t>
      </w:r>
      <w:r w:rsidR="00642668">
        <w:t>provide the best guide</w:t>
      </w:r>
      <w:r>
        <w:t xml:space="preserve"> to the date of the building</w:t>
      </w:r>
      <w:r w:rsidR="00642668">
        <w:t xml:space="preserve">. No original timber has been identified which would allow tree-ring dating. </w:t>
      </w:r>
      <w:r w:rsidR="008578B9">
        <w:t xml:space="preserve">Some authors assigned an early date to the building: Wood judged it </w:t>
      </w:r>
      <w:r w:rsidR="008578B9" w:rsidRPr="007F0C20">
        <w:rPr>
          <w:i/>
        </w:rPr>
        <w:t>c</w:t>
      </w:r>
      <w:r w:rsidR="008578B9">
        <w:t xml:space="preserve">.1140, a date followed by </w:t>
      </w:r>
      <w:proofErr w:type="spellStart"/>
      <w:r w:rsidR="008578B9">
        <w:t>Verey</w:t>
      </w:r>
      <w:proofErr w:type="spellEnd"/>
      <w:r w:rsidR="008578B9">
        <w:t xml:space="preserve"> in the first edition of Pevsner’s </w:t>
      </w:r>
      <w:r w:rsidR="008578B9">
        <w:rPr>
          <w:i/>
        </w:rPr>
        <w:t xml:space="preserve">Buildings </w:t>
      </w:r>
      <w:r w:rsidR="008578B9">
        <w:rPr>
          <w:i/>
        </w:rPr>
        <w:lastRenderedPageBreak/>
        <w:t>of England.</w:t>
      </w:r>
      <w:r w:rsidR="008578B9">
        <w:rPr>
          <w:rStyle w:val="FootnoteReference"/>
          <w:i/>
        </w:rPr>
        <w:footnoteReference w:id="26"/>
      </w:r>
      <w:r w:rsidR="00DD4F8B">
        <w:t xml:space="preserve"> More recent sources have judged the date to be rather later. In the third edition of Pevsner (1999), Brooks gives a date of ‘quite late C12’.</w:t>
      </w:r>
      <w:r w:rsidR="00EB70C5">
        <w:rPr>
          <w:rStyle w:val="FootnoteReference"/>
        </w:rPr>
        <w:footnoteReference w:id="27"/>
      </w:r>
      <w:r w:rsidR="00DD4F8B">
        <w:t xml:space="preserve"> T</w:t>
      </w:r>
      <w:r w:rsidR="00B26303">
        <w:t xml:space="preserve">he keel </w:t>
      </w:r>
      <w:r w:rsidR="00625B8E">
        <w:t xml:space="preserve">moulding on the doorways and </w:t>
      </w:r>
      <w:r w:rsidR="007F0C20">
        <w:t xml:space="preserve">attached </w:t>
      </w:r>
      <w:r w:rsidR="00625B8E">
        <w:t>shaft</w:t>
      </w:r>
      <w:r w:rsidR="00B26303">
        <w:t xml:space="preserve"> provides a useful dating feature. Morris noted that keel mouldings were adopted </w:t>
      </w:r>
      <w:r w:rsidR="003540BB">
        <w:t xml:space="preserve">under Cistercian influence </w:t>
      </w:r>
      <w:r w:rsidR="00B26303">
        <w:t>in northern England from the 1160s</w:t>
      </w:r>
      <w:r w:rsidR="00625B8E">
        <w:t>.</w:t>
      </w:r>
      <w:r w:rsidR="00B654EB">
        <w:rPr>
          <w:rStyle w:val="FootnoteReference"/>
        </w:rPr>
        <w:footnoteReference w:id="28"/>
      </w:r>
      <w:r w:rsidR="00625B8E">
        <w:t xml:space="preserve"> </w:t>
      </w:r>
      <w:r w:rsidR="003F46C7">
        <w:t xml:space="preserve">Closer regional </w:t>
      </w:r>
      <w:proofErr w:type="spellStart"/>
      <w:r w:rsidR="003F46C7">
        <w:t>comparables</w:t>
      </w:r>
      <w:proofErr w:type="spellEnd"/>
      <w:r w:rsidR="003F46C7">
        <w:t xml:space="preserve"> have been identified by Thurlby, with keeled shafts at </w:t>
      </w:r>
      <w:r w:rsidR="00625B8E">
        <w:t xml:space="preserve">the Lady Chapel of Glastonbury Abbey, built in 1184-86, </w:t>
      </w:r>
      <w:r w:rsidR="003F46C7">
        <w:t xml:space="preserve">and in the western part of the nave of Worcester Cathedral, </w:t>
      </w:r>
      <w:r w:rsidR="003F46C7" w:rsidRPr="00F32DBE">
        <w:t>dated c.1175-8</w:t>
      </w:r>
      <w:r w:rsidR="002911AA" w:rsidRPr="00F32DBE">
        <w:t>5</w:t>
      </w:r>
      <w:r w:rsidR="00067A12" w:rsidRPr="00F32DBE">
        <w:t>.</w:t>
      </w:r>
      <w:r w:rsidR="00C755EE" w:rsidRPr="00C755EE">
        <w:rPr>
          <w:rStyle w:val="FootnoteReference"/>
        </w:rPr>
        <w:t xml:space="preserve"> </w:t>
      </w:r>
      <w:r w:rsidR="00C755EE">
        <w:rPr>
          <w:rStyle w:val="FootnoteReference"/>
        </w:rPr>
        <w:footnoteReference w:id="29"/>
      </w:r>
      <w:r w:rsidR="00C755EE">
        <w:t xml:space="preserve"> </w:t>
      </w:r>
      <w:r w:rsidR="003F46C7">
        <w:t xml:space="preserve"> Both of these also have chevron ornament projectin</w:t>
      </w:r>
      <w:r w:rsidR="00067A12">
        <w:t xml:space="preserve">g at a 45° angle, as at Horton. </w:t>
      </w:r>
      <w:r w:rsidR="000A2A19">
        <w:t>The trumpet scall</w:t>
      </w:r>
      <w:r w:rsidR="00067A12">
        <w:t>op capitals of the doorway</w:t>
      </w:r>
      <w:r w:rsidR="00AE1D21">
        <w:t>s are also very useful for dating. Such capitals are generally assigned to the 1170s or 1180s, but the keeling detail</w:t>
      </w:r>
      <w:r w:rsidR="00067A12">
        <w:t xml:space="preserve"> </w:t>
      </w:r>
      <w:r w:rsidR="00AE1D21">
        <w:t xml:space="preserve">suggests a slightly later date. There is a remarkably similar trumpet scallop capital with keeling in the Great Hall of Berkeley Castle (Gloucestershire), only around ten miles away. </w:t>
      </w:r>
      <w:r w:rsidR="000C76D6">
        <w:t>The capital forms the head of a nook-shaft to a surviving window reveal of the Norman hall, and is dated to c.1190-1200 on the website of the Corpus of Romanesque Sculpture in Britain and Ireland.</w:t>
      </w:r>
      <w:r w:rsidR="000C76D6">
        <w:rPr>
          <w:rStyle w:val="FootnoteReference"/>
        </w:rPr>
        <w:footnoteReference w:id="30"/>
      </w:r>
      <w:r w:rsidR="000C76D6">
        <w:t xml:space="preserve">  </w:t>
      </w:r>
      <w:r w:rsidR="000A2A19">
        <w:t xml:space="preserve">The exceptionally refined trumpet scallop capitals at </w:t>
      </w:r>
      <w:proofErr w:type="spellStart"/>
      <w:r w:rsidR="000A2A19">
        <w:t>Burmington</w:t>
      </w:r>
      <w:proofErr w:type="spellEnd"/>
      <w:r w:rsidR="000A2A19">
        <w:t xml:space="preserve"> Manor (Warwickshire)</w:t>
      </w:r>
      <w:r w:rsidR="00B654EB">
        <w:t>, combining stone with timber,</w:t>
      </w:r>
      <w:r w:rsidR="000A2A19">
        <w:t xml:space="preserve"> have recently been </w:t>
      </w:r>
      <w:r w:rsidR="00B654EB">
        <w:t>tree-ring dated to 1194/5</w:t>
      </w:r>
      <w:r w:rsidR="000C76D6">
        <w:t>,</w:t>
      </w:r>
      <w:r w:rsidR="00B654EB">
        <w:rPr>
          <w:rStyle w:val="FootnoteReference"/>
        </w:rPr>
        <w:footnoteReference w:id="31"/>
      </w:r>
      <w:r w:rsidR="000C76D6">
        <w:t xml:space="preserve"> while</w:t>
      </w:r>
      <w:r w:rsidR="00B654EB">
        <w:t xml:space="preserve"> </w:t>
      </w:r>
      <w:r w:rsidR="000C76D6">
        <w:t>t</w:t>
      </w:r>
      <w:r w:rsidR="00B1400A">
        <w:t>he cons</w:t>
      </w:r>
      <w:r w:rsidR="00EB70C5">
        <w:t xml:space="preserve">istent use of round arches </w:t>
      </w:r>
      <w:r w:rsidR="00B1400A">
        <w:t xml:space="preserve">points to a date before 1200. </w:t>
      </w:r>
      <w:r w:rsidR="000C76D6">
        <w:t xml:space="preserve">Taken as a whole, the evidence points to a date for Horton of c.1180-1200. </w:t>
      </w:r>
    </w:p>
    <w:p w14:paraId="13D4A39A" w14:textId="77777777" w:rsidR="004D12E4" w:rsidRDefault="004D12E4" w:rsidP="008E7CFA">
      <w:pPr>
        <w:spacing w:line="360" w:lineRule="auto"/>
      </w:pPr>
    </w:p>
    <w:p w14:paraId="5F95125A" w14:textId="77777777" w:rsidR="0018014B" w:rsidRDefault="0018014B" w:rsidP="008E7CFA">
      <w:pPr>
        <w:spacing w:line="360" w:lineRule="auto"/>
      </w:pPr>
      <w:r>
        <w:rPr>
          <w:b/>
        </w:rPr>
        <w:t>Discussio</w:t>
      </w:r>
      <w:r w:rsidR="009A3726">
        <w:rPr>
          <w:b/>
        </w:rPr>
        <w:t>n</w:t>
      </w:r>
    </w:p>
    <w:p w14:paraId="74EDE481" w14:textId="77777777" w:rsidR="0018014B" w:rsidRDefault="0018014B" w:rsidP="008E7CFA">
      <w:pPr>
        <w:spacing w:line="360" w:lineRule="auto"/>
      </w:pPr>
    </w:p>
    <w:p w14:paraId="65641296" w14:textId="76929835" w:rsidR="00642668" w:rsidRDefault="00B1400A" w:rsidP="008E7CFA">
      <w:pPr>
        <w:spacing w:line="360" w:lineRule="auto"/>
      </w:pPr>
      <w:r>
        <w:lastRenderedPageBreak/>
        <w:t>The central question of interpr</w:t>
      </w:r>
      <w:r w:rsidR="00796058">
        <w:t xml:space="preserve">etation is whether the structure </w:t>
      </w:r>
      <w:r>
        <w:t>was originally a hall or a</w:t>
      </w:r>
      <w:r w:rsidR="00796058">
        <w:t xml:space="preserve">n ecclesiastical building. As the accepted name, the ‘Norman Hall’, itself </w:t>
      </w:r>
      <w:r w:rsidR="00D42E6D">
        <w:t>indicate</w:t>
      </w:r>
      <w:r w:rsidR="00796058">
        <w:t xml:space="preserve">s, the general presumption has been that it was a domestic hall. </w:t>
      </w:r>
      <w:r w:rsidR="00514FAF">
        <w:t>The current authors were themselves drawn i</w:t>
      </w:r>
      <w:r w:rsidR="00B57B89">
        <w:t xml:space="preserve">nto the study of the building </w:t>
      </w:r>
      <w:r w:rsidR="00F5538F">
        <w:t xml:space="preserve">as part of their wider research on domestic architecture of the </w:t>
      </w:r>
      <w:r w:rsidR="00A85CBB">
        <w:t>12th</w:t>
      </w:r>
      <w:r w:rsidR="00F5538F">
        <w:t xml:space="preserve"> and </w:t>
      </w:r>
      <w:r w:rsidR="00A85CBB">
        <w:t>13th</w:t>
      </w:r>
      <w:r w:rsidR="00F5538F">
        <w:t xml:space="preserve"> centuries, </w:t>
      </w:r>
      <w:r w:rsidR="00B57B89">
        <w:t>because it was</w:t>
      </w:r>
      <w:r w:rsidR="00514FAF">
        <w:t xml:space="preserve"> a lesser</w:t>
      </w:r>
      <w:r w:rsidR="00F5538F">
        <w:t>-known example of an early hall</w:t>
      </w:r>
      <w:r w:rsidR="00514FAF">
        <w:t>.</w:t>
      </w:r>
      <w:r w:rsidR="00514FAF">
        <w:rPr>
          <w:rStyle w:val="FootnoteReference"/>
        </w:rPr>
        <w:footnoteReference w:id="32"/>
      </w:r>
      <w:r w:rsidR="00514FAF">
        <w:t xml:space="preserve"> However, as the study progressed, difficulties with the orthodox view emerged.  </w:t>
      </w:r>
    </w:p>
    <w:p w14:paraId="21F820E5" w14:textId="479DCEF3" w:rsidR="002519B8" w:rsidRDefault="002519B8" w:rsidP="008B2038">
      <w:pPr>
        <w:spacing w:line="360" w:lineRule="auto"/>
        <w:ind w:firstLine="720"/>
      </w:pPr>
      <w:r>
        <w:t xml:space="preserve">The first indication that the building does not fit the normal pattern for early halls is simply a matter of size. Surviving stone-built halls of the later </w:t>
      </w:r>
      <w:r w:rsidR="00A85CBB">
        <w:t>12th</w:t>
      </w:r>
      <w:r>
        <w:t xml:space="preserve"> </w:t>
      </w:r>
      <w:r w:rsidR="0066768B">
        <w:t xml:space="preserve">or early </w:t>
      </w:r>
      <w:r w:rsidR="00A85CBB">
        <w:t>13th</w:t>
      </w:r>
      <w:r w:rsidR="0066768B">
        <w:t xml:space="preserve"> century </w:t>
      </w:r>
      <w:r>
        <w:t xml:space="preserve">all </w:t>
      </w:r>
      <w:r w:rsidR="0066768B">
        <w:t xml:space="preserve">have a </w:t>
      </w:r>
      <w:r>
        <w:t xml:space="preserve">much larger </w:t>
      </w:r>
      <w:r w:rsidR="0066768B">
        <w:t xml:space="preserve">floor area </w:t>
      </w:r>
      <w:r>
        <w:t>than Horton. The hall of Oakham Castle, smaller tha</w:t>
      </w:r>
      <w:r w:rsidR="0066768B">
        <w:t xml:space="preserve">n many others, is </w:t>
      </w:r>
      <w:r>
        <w:t>over five times larger than Horton.</w:t>
      </w:r>
      <w:r w:rsidR="0066233A">
        <w:rPr>
          <w:rStyle w:val="FootnoteReference"/>
        </w:rPr>
        <w:footnoteReference w:id="33"/>
      </w:r>
      <w:r>
        <w:t xml:space="preserve"> </w:t>
      </w:r>
      <w:proofErr w:type="spellStart"/>
      <w:r>
        <w:t>Burmington</w:t>
      </w:r>
      <w:proofErr w:type="spellEnd"/>
      <w:r>
        <w:t>, an unusually small examp</w:t>
      </w:r>
      <w:r w:rsidR="0066768B">
        <w:t xml:space="preserve">le, is nearly twice as large. The lesser timber-built halls, such as </w:t>
      </w:r>
      <w:proofErr w:type="spellStart"/>
      <w:r w:rsidR="0066768B">
        <w:t>Fyfield</w:t>
      </w:r>
      <w:proofErr w:type="spellEnd"/>
      <w:r w:rsidR="0066768B">
        <w:t xml:space="preserve"> Hall or Temple Balsall are also over twice as big. Even the modest </w:t>
      </w:r>
      <w:proofErr w:type="spellStart"/>
      <w:r w:rsidR="0066768B">
        <w:t>Westwick</w:t>
      </w:r>
      <w:proofErr w:type="spellEnd"/>
      <w:r w:rsidR="0066768B">
        <w:t xml:space="preserve"> Cottage (Hertfordshire) has a hall rather larger than Horton.</w:t>
      </w:r>
      <w:r w:rsidR="0066233A">
        <w:rPr>
          <w:rStyle w:val="FootnoteReference"/>
        </w:rPr>
        <w:footnoteReference w:id="34"/>
      </w:r>
      <w:r w:rsidR="0066768B">
        <w:t xml:space="preserve"> These, of course, are all aisled halls, so a greater width is more readily achieved. </w:t>
      </w:r>
      <w:proofErr w:type="spellStart"/>
      <w:r w:rsidR="0066768B">
        <w:t>Unaisled</w:t>
      </w:r>
      <w:proofErr w:type="spellEnd"/>
      <w:r w:rsidR="0066768B">
        <w:t xml:space="preserve"> halls of this early date, however, are very rare. Only two </w:t>
      </w:r>
      <w:r w:rsidR="00624480">
        <w:t xml:space="preserve">potential </w:t>
      </w:r>
      <w:proofErr w:type="spellStart"/>
      <w:r w:rsidR="0066768B">
        <w:t>comparabl</w:t>
      </w:r>
      <w:r w:rsidR="00B65603">
        <w:t>e</w:t>
      </w:r>
      <w:r w:rsidR="00624480">
        <w:t>s</w:t>
      </w:r>
      <w:proofErr w:type="spellEnd"/>
      <w:r w:rsidR="00624480">
        <w:t xml:space="preserve"> </w:t>
      </w:r>
      <w:r w:rsidR="00B65603">
        <w:t xml:space="preserve">have been traced, Appleton Manor (Oxfordshire) and </w:t>
      </w:r>
      <w:proofErr w:type="spellStart"/>
      <w:r w:rsidR="00B65603">
        <w:t>Nassington</w:t>
      </w:r>
      <w:proofErr w:type="spellEnd"/>
      <w:r w:rsidR="00B65603">
        <w:t xml:space="preserve"> Prebendal Manor (Northamptonshire). Both </w:t>
      </w:r>
      <w:r w:rsidR="009A3726">
        <w:t>have a much wider span than Horton and are nearly twice its size</w:t>
      </w:r>
      <w:r w:rsidR="00B65603">
        <w:t>. Given the high quality of its masonry and evident status, Horton would be exceptional</w:t>
      </w:r>
      <w:r w:rsidR="00E26B6D">
        <w:t xml:space="preserve">ly small for a </w:t>
      </w:r>
      <w:r w:rsidR="00F5538F">
        <w:t xml:space="preserve">high-status </w:t>
      </w:r>
      <w:r w:rsidR="00E26B6D">
        <w:t>hall</w:t>
      </w:r>
      <w:r w:rsidR="00B65603">
        <w:t>. There are domestic buildings of well-built masonry from the period of comparable size, but these are two-storeyed</w:t>
      </w:r>
      <w:r w:rsidR="00E26B6D">
        <w:t>, free-standing</w:t>
      </w:r>
      <w:r w:rsidR="00B65603">
        <w:t xml:space="preserve"> chamber blocks, such as </w:t>
      </w:r>
      <w:r w:rsidR="003C0503">
        <w:t xml:space="preserve">those at </w:t>
      </w:r>
      <w:r w:rsidR="00E26B6D">
        <w:t xml:space="preserve">the manor houses of </w:t>
      </w:r>
      <w:r w:rsidR="00B65603">
        <w:t xml:space="preserve">Boothby Pagnell (Lincolnshire) or Hemingford Grey </w:t>
      </w:r>
      <w:r w:rsidR="00E26B6D">
        <w:t>(Cambridgeshire), not halls.</w:t>
      </w:r>
      <w:r w:rsidR="0066233A">
        <w:rPr>
          <w:rStyle w:val="FootnoteReference"/>
        </w:rPr>
        <w:footnoteReference w:id="35"/>
      </w:r>
      <w:r w:rsidR="0066233A">
        <w:t xml:space="preserve"> </w:t>
      </w:r>
    </w:p>
    <w:p w14:paraId="350F9A15" w14:textId="1A3DFA8B" w:rsidR="0004468D" w:rsidRDefault="0004468D" w:rsidP="00265E4B">
      <w:pPr>
        <w:spacing w:line="360" w:lineRule="auto"/>
        <w:ind w:firstLine="720"/>
      </w:pPr>
      <w:r>
        <w:lastRenderedPageBreak/>
        <w:t>The location of the opposed doorways, set in one bay from the</w:t>
      </w:r>
      <w:r w:rsidR="00465A73">
        <w:t xml:space="preserve"> </w:t>
      </w:r>
      <w:r>
        <w:t>gable</w:t>
      </w:r>
      <w:r w:rsidR="00465A73">
        <w:t xml:space="preserve"> end,</w:t>
      </w:r>
      <w:r>
        <w:t xml:space="preserve"> would </w:t>
      </w:r>
      <w:r w:rsidR="00E26B6D">
        <w:t xml:space="preserve">also </w:t>
      </w:r>
      <w:r>
        <w:t>be unusual for an early hall</w:t>
      </w:r>
      <w:r w:rsidR="000A06AC">
        <w:t>, though normal for a church or chapel</w:t>
      </w:r>
      <w:r>
        <w:t>.</w:t>
      </w:r>
      <w:r w:rsidR="002B35BF">
        <w:rPr>
          <w:rStyle w:val="FootnoteReference"/>
        </w:rPr>
        <w:footnoteReference w:id="36"/>
      </w:r>
      <w:r>
        <w:t xml:space="preserve"> </w:t>
      </w:r>
      <w:r w:rsidR="00E26B6D">
        <w:t>The standard position for the entrance door in contempo</w:t>
      </w:r>
      <w:r w:rsidR="00465A73">
        <w:t xml:space="preserve">rary halls is next to the </w:t>
      </w:r>
      <w:r w:rsidR="00E26B6D">
        <w:t>end wall, with doors leading to the s</w:t>
      </w:r>
      <w:r w:rsidR="00465A73">
        <w:t>ervice rooms beyond the gable end</w:t>
      </w:r>
      <w:r w:rsidR="00262A33">
        <w:t>. An off-set entrance door, with a service bay located</w:t>
      </w:r>
      <w:r w:rsidR="00465A73">
        <w:t xml:space="preserve"> within</w:t>
      </w:r>
      <w:r w:rsidR="00262A33">
        <w:t xml:space="preserve"> the end of the hall, is a rather later development. In any case, the end bay at Horton </w:t>
      </w:r>
      <w:r w:rsidR="00465A73">
        <w:t>was ill-</w:t>
      </w:r>
      <w:r w:rsidR="00262A33">
        <w:t xml:space="preserve">designed for service use; it is very short, with no separate entrance door or low-level lighting. Other contemporary halls have service doors leading to attached service rooms in the gable wall, but Horton has no such provision. The location of the hall, with one lateral wall directly against the churchyard, is also very awkward for a hall, even if built for an ecclesiastical owner. </w:t>
      </w:r>
      <w:proofErr w:type="spellStart"/>
      <w:r w:rsidR="00262A33">
        <w:t>Burmington</w:t>
      </w:r>
      <w:proofErr w:type="spellEnd"/>
      <w:r w:rsidR="00262A33">
        <w:t xml:space="preserve"> Manor does </w:t>
      </w:r>
      <w:proofErr w:type="spellStart"/>
      <w:r w:rsidR="00262A33">
        <w:t>abut</w:t>
      </w:r>
      <w:proofErr w:type="spellEnd"/>
      <w:r w:rsidR="00262A33">
        <w:t xml:space="preserve"> the churchyard, but has independent access towards one end of the lateral wall.</w:t>
      </w:r>
      <w:r w:rsidR="00262A33">
        <w:rPr>
          <w:rStyle w:val="FootnoteReference"/>
        </w:rPr>
        <w:footnoteReference w:id="37"/>
      </w:r>
      <w:r w:rsidR="00262A33">
        <w:t xml:space="preserve"> </w:t>
      </w:r>
    </w:p>
    <w:p w14:paraId="61E2EF79" w14:textId="0EB91218" w:rsidR="00262A33" w:rsidRDefault="004E6CFA" w:rsidP="00265E4B">
      <w:pPr>
        <w:spacing w:line="360" w:lineRule="auto"/>
        <w:ind w:firstLine="720"/>
      </w:pPr>
      <w:r>
        <w:t>The windows at Horton are all set at a high level in the wall, above the internal string course – rather higher than expected for a hall, though normal for a church or chapel</w:t>
      </w:r>
      <w:r w:rsidR="00954C3E">
        <w:t xml:space="preserve">, and for </w:t>
      </w:r>
      <w:r w:rsidR="004E7F72">
        <w:t>monastic</w:t>
      </w:r>
      <w:r w:rsidR="00954C3E">
        <w:t xml:space="preserve"> buildings of the period, such as the refectories at Dover Priory and Minster Priory.</w:t>
      </w:r>
      <w:r w:rsidR="00794D0B">
        <w:rPr>
          <w:rStyle w:val="FootnoteReference"/>
        </w:rPr>
        <w:footnoteReference w:id="38"/>
      </w:r>
      <w:r w:rsidR="00954C3E">
        <w:t xml:space="preserve"> </w:t>
      </w:r>
      <w:r w:rsidR="00465A73">
        <w:t xml:space="preserve">A moulded internal string course, rising up over a doorway, is itself a feature often seen in churches, but not in halls. </w:t>
      </w:r>
      <w:r>
        <w:t>The aisle-less form itself, with tall walls, i</w:t>
      </w:r>
      <w:r w:rsidR="00624480">
        <w:t xml:space="preserve">s also very unusual for a </w:t>
      </w:r>
      <w:r w:rsidR="004E7F72">
        <w:t xml:space="preserve">stone-built </w:t>
      </w:r>
      <w:r w:rsidR="00624480">
        <w:t xml:space="preserve">hall, with only two comparable examples as noted above. Furthermore, recent study has brought into question whether </w:t>
      </w:r>
      <w:r w:rsidR="00C13ADC">
        <w:t>even these two exampl</w:t>
      </w:r>
      <w:r w:rsidR="00624480">
        <w:t>es were origin</w:t>
      </w:r>
      <w:r w:rsidR="00C13ADC">
        <w:t>ally built with tall walls. Much</w:t>
      </w:r>
      <w:r w:rsidR="00624480">
        <w:t xml:space="preserve"> of the </w:t>
      </w:r>
      <w:r w:rsidR="00C13ADC">
        <w:t xml:space="preserve">external </w:t>
      </w:r>
      <w:r w:rsidR="00624480">
        <w:t>wal</w:t>
      </w:r>
      <w:r w:rsidR="00055FB3">
        <w:t xml:space="preserve">ling of Appleton Manor has </w:t>
      </w:r>
      <w:r w:rsidR="00624480">
        <w:t xml:space="preserve">been rebuilt, </w:t>
      </w:r>
      <w:r w:rsidR="00055FB3">
        <w:t xml:space="preserve">and </w:t>
      </w:r>
      <w:proofErr w:type="spellStart"/>
      <w:r w:rsidR="00055FB3">
        <w:t>Nassington</w:t>
      </w:r>
      <w:proofErr w:type="spellEnd"/>
      <w:r w:rsidR="00055FB3">
        <w:t xml:space="preserve"> Prebendal Manor seems to have</w:t>
      </w:r>
      <w:r w:rsidR="00624480">
        <w:t xml:space="preserve"> </w:t>
      </w:r>
      <w:r w:rsidR="00055FB3">
        <w:t xml:space="preserve">been built originally </w:t>
      </w:r>
      <w:r w:rsidR="00624480">
        <w:t xml:space="preserve">with walls of </w:t>
      </w:r>
      <w:r w:rsidR="00C13ADC">
        <w:t>single-storey height.</w:t>
      </w:r>
      <w:r w:rsidR="00C13ADC">
        <w:rPr>
          <w:rStyle w:val="FootnoteReference"/>
        </w:rPr>
        <w:footnoteReference w:id="39"/>
      </w:r>
      <w:r w:rsidR="00C13ADC">
        <w:t xml:space="preserve"> </w:t>
      </w:r>
      <w:r>
        <w:t>A particular detail, noted above</w:t>
      </w:r>
      <w:r w:rsidR="00C13ADC">
        <w:t>,</w:t>
      </w:r>
      <w:r>
        <w:t xml:space="preserve"> is that neither of the entrance doorways had any original provision for draw-bars. This means of barring the door from the inside is a </w:t>
      </w:r>
      <w:r>
        <w:lastRenderedPageBreak/>
        <w:t xml:space="preserve">standard feature of all early residential buildings, but was of course not a requirement for churches or </w:t>
      </w:r>
      <w:r w:rsidR="00465A73">
        <w:t xml:space="preserve">detached </w:t>
      </w:r>
      <w:r>
        <w:t xml:space="preserve">chapels. </w:t>
      </w:r>
    </w:p>
    <w:p w14:paraId="48CA51B1" w14:textId="3F58FB52" w:rsidR="00EE45CD" w:rsidRDefault="00465A73" w:rsidP="00265E4B">
      <w:pPr>
        <w:spacing w:line="360" w:lineRule="auto"/>
        <w:ind w:firstLine="360"/>
      </w:pPr>
      <w:r>
        <w:t>The final difficulty with inte</w:t>
      </w:r>
      <w:r w:rsidR="00AB7C39">
        <w:t xml:space="preserve">rpretation of the building as a hall is its relationship to the development of the rest of the prebendal manor house. </w:t>
      </w:r>
      <w:r w:rsidR="0053369E">
        <w:t>The complex sequence of phases here has been recently disentangled by Jane and John Harcourt, assisted by a programme of tree-ring dating.</w:t>
      </w:r>
      <w:r w:rsidR="0053369E">
        <w:rPr>
          <w:rStyle w:val="FootnoteReference"/>
        </w:rPr>
        <w:footnoteReference w:id="40"/>
      </w:r>
      <w:r w:rsidR="0053369E">
        <w:t xml:space="preserve"> </w:t>
      </w:r>
      <w:r w:rsidR="00B21E45">
        <w:t xml:space="preserve">Apart from the </w:t>
      </w:r>
      <w:r w:rsidR="00CC6E41">
        <w:t xml:space="preserve">Norman Hall, the earliest surviving part of the house is a rectangular block some distance to the south-east of the Hall, </w:t>
      </w:r>
      <w:r w:rsidR="00AA3657">
        <w:t xml:space="preserve">forming part of the current south range and </w:t>
      </w:r>
      <w:r w:rsidR="00CC6E41">
        <w:t xml:space="preserve">thought to date from the </w:t>
      </w:r>
      <w:r w:rsidR="00A85CBB">
        <w:t>14th</w:t>
      </w:r>
      <w:r w:rsidR="00CC6E41">
        <w:t xml:space="preserve"> or early </w:t>
      </w:r>
      <w:r w:rsidR="00A85CBB">
        <w:t>15th</w:t>
      </w:r>
      <w:r w:rsidR="00CC6E41">
        <w:t xml:space="preserve"> </w:t>
      </w:r>
      <w:r w:rsidR="00CC6E41" w:rsidRPr="00977B51">
        <w:t>century</w:t>
      </w:r>
      <w:r w:rsidR="00B21E45" w:rsidRPr="00977B51">
        <w:t xml:space="preserve"> (Fig</w:t>
      </w:r>
      <w:r w:rsidR="00265E4B" w:rsidRPr="00977B51">
        <w:t xml:space="preserve">. </w:t>
      </w:r>
      <w:r w:rsidR="00977B51" w:rsidRPr="00977B51">
        <w:t>13</w:t>
      </w:r>
      <w:r w:rsidR="00B21E45" w:rsidRPr="00977B51">
        <w:t>)</w:t>
      </w:r>
      <w:r w:rsidR="00CC6E41" w:rsidRPr="00977B51">
        <w:t xml:space="preserve">. It is oriented west-east and was named ‘Hall 2’ by the Harcourts. </w:t>
      </w:r>
      <w:r w:rsidR="00AA3657" w:rsidRPr="00977B51">
        <w:t xml:space="preserve">The next development, probably in 1492, was the addition of </w:t>
      </w:r>
      <w:r w:rsidR="00B21E45" w:rsidRPr="00977B51">
        <w:t>the west range, a two-storey block oriented north-south, which extended up to the south-east corner of the Norman Hall. The skewed orientation of this block suggests that it was the first building to link the main house to the Norman Hall, though without connecting doorways (unless via the lost east end of the Norman Hall). The next major phase</w:t>
      </w:r>
      <w:r w:rsidR="00601F8D" w:rsidRPr="00977B51">
        <w:t xml:space="preserve"> of work was undertaken in 1519–</w:t>
      </w:r>
      <w:r w:rsidR="00B21E45" w:rsidRPr="00977B51">
        <w:t xml:space="preserve">21 by </w:t>
      </w:r>
      <w:r w:rsidR="00E437A2" w:rsidRPr="00977B51">
        <w:t>Dr William Knight (Fig</w:t>
      </w:r>
      <w:r w:rsidR="000004D6" w:rsidRPr="00977B51">
        <w:t>.</w:t>
      </w:r>
      <w:r w:rsidR="00E437A2" w:rsidRPr="00977B51">
        <w:t xml:space="preserve"> </w:t>
      </w:r>
      <w:r w:rsidR="00977B51" w:rsidRPr="00977B51">
        <w:t>14</w:t>
      </w:r>
      <w:r w:rsidR="00E437A2" w:rsidRPr="00977B51">
        <w:t xml:space="preserve">). </w:t>
      </w:r>
      <w:r w:rsidR="00EE45CD" w:rsidRPr="00977B51">
        <w:t>The north range was added, abutting the east gable of the Norman Hall, together with the</w:t>
      </w:r>
      <w:r w:rsidR="00EE45CD">
        <w:t xml:space="preserve"> east range and extensions to the south range. This sequence of development is not at all what one would expect if the Norman Hall were the original hall. Early halls normally act as the central nucleus, around which other blocks are built</w:t>
      </w:r>
      <w:r w:rsidR="00467DEA">
        <w:t xml:space="preserve"> up</w:t>
      </w:r>
      <w:r w:rsidR="009C7ACF">
        <w:t xml:space="preserve">; the example of </w:t>
      </w:r>
      <w:proofErr w:type="spellStart"/>
      <w:r w:rsidR="009C7ACF">
        <w:t>Nassington</w:t>
      </w:r>
      <w:proofErr w:type="spellEnd"/>
      <w:r w:rsidR="009C7ACF">
        <w:t xml:space="preserve"> Prebendal Manor with its excavated remains and standing fabric demonstrate this</w:t>
      </w:r>
      <w:r w:rsidR="00EE45CD">
        <w:t xml:space="preserve"> </w:t>
      </w:r>
      <w:r w:rsidR="009C7ACF">
        <w:t>well.</w:t>
      </w:r>
      <w:r w:rsidR="009C7ACF">
        <w:rPr>
          <w:rStyle w:val="FootnoteReference"/>
        </w:rPr>
        <w:footnoteReference w:id="41"/>
      </w:r>
      <w:r w:rsidR="009C7ACF">
        <w:t xml:space="preserve"> </w:t>
      </w:r>
      <w:r w:rsidR="00EE45CD">
        <w:t xml:space="preserve">Instead, at Horton the house </w:t>
      </w:r>
      <w:r w:rsidR="004E7F72">
        <w:t>wa</w:t>
      </w:r>
      <w:r w:rsidR="00EE45CD">
        <w:t xml:space="preserve">s gradually extended to connect to the Norman Hall. Even after it </w:t>
      </w:r>
      <w:r w:rsidR="004E7F72">
        <w:t>wa</w:t>
      </w:r>
      <w:r w:rsidR="00EE45CD">
        <w:t xml:space="preserve">s fully connected to the main house in the early </w:t>
      </w:r>
      <w:r w:rsidR="00A85CBB">
        <w:t>16th</w:t>
      </w:r>
      <w:r w:rsidR="00EE45CD">
        <w:t xml:space="preserve"> century, the Norman Hall remain</w:t>
      </w:r>
      <w:r w:rsidR="004E7F72">
        <w:t>ed</w:t>
      </w:r>
      <w:r w:rsidR="00EE45CD">
        <w:t xml:space="preserve"> an isolated wing, with no evidence for </w:t>
      </w:r>
      <w:r w:rsidR="00467DEA">
        <w:t xml:space="preserve">attached </w:t>
      </w:r>
      <w:r w:rsidR="00EE45CD">
        <w:t xml:space="preserve">buildings to its south or west. </w:t>
      </w:r>
      <w:r w:rsidR="00467DEA">
        <w:t xml:space="preserve">The development pattern suggests the original house was located to the south-east, with the Norman Hall a free-standing, independent building. </w:t>
      </w:r>
      <w:r w:rsidR="00EE45CD">
        <w:t xml:space="preserve"> </w:t>
      </w:r>
    </w:p>
    <w:p w14:paraId="427AC471" w14:textId="69173CBF" w:rsidR="005D4961" w:rsidRDefault="00A55038" w:rsidP="004D303C">
      <w:pPr>
        <w:spacing w:line="360" w:lineRule="auto"/>
        <w:ind w:firstLine="360"/>
      </w:pPr>
      <w:r>
        <w:t xml:space="preserve">Many of the original features of the Norman Hall would thus be unusual in a domestic hall, and much more suitable for a church or chapel. The building is of course </w:t>
      </w:r>
      <w:r w:rsidR="003C0503">
        <w:t>appropriately</w:t>
      </w:r>
      <w:r w:rsidR="000A06AC">
        <w:t xml:space="preserve"> oriented </w:t>
      </w:r>
      <w:r>
        <w:t>west</w:t>
      </w:r>
      <w:r w:rsidR="000A06AC">
        <w:t>-east</w:t>
      </w:r>
      <w:r>
        <w:t xml:space="preserve">. The most convincing explanation for the loss of the east end is that it </w:t>
      </w:r>
      <w:r w:rsidR="005D4961">
        <w:t xml:space="preserve">once </w:t>
      </w:r>
      <w:r>
        <w:t>extended further to form a chancel, as would be expected for a church or chapel. Built init</w:t>
      </w:r>
      <w:r w:rsidR="005D4961">
        <w:t>ially as an independent structure</w:t>
      </w:r>
      <w:r>
        <w:t xml:space="preserve">, at the south edge of </w:t>
      </w:r>
      <w:r>
        <w:lastRenderedPageBreak/>
        <w:t>the churchyard and a short distance from the main house, the Norman Hall was eventually absorbed into the main</w:t>
      </w:r>
      <w:r w:rsidR="005D4961">
        <w:t xml:space="preserve"> building</w:t>
      </w:r>
      <w:r>
        <w:t xml:space="preserve">, with the chancel demolished and a new east gable wall built. </w:t>
      </w:r>
      <w:r w:rsidR="005D4961">
        <w:t xml:space="preserve">Having </w:t>
      </w:r>
      <w:r w:rsidR="00285F7B">
        <w:t>concluded</w:t>
      </w:r>
      <w:r w:rsidR="005D4961">
        <w:t xml:space="preserve"> that the Norman Hall had indeed been built as a church or chapel, the authors </w:t>
      </w:r>
      <w:r w:rsidR="00B05861">
        <w:t xml:space="preserve">then </w:t>
      </w:r>
      <w:r w:rsidR="005D4961">
        <w:t xml:space="preserve">discovered that John Blair had undertaken an analysis of the Norman Hall </w:t>
      </w:r>
      <w:r w:rsidR="000A06AC">
        <w:t>many years earlier</w:t>
      </w:r>
      <w:r w:rsidR="006D4360">
        <w:t>,</w:t>
      </w:r>
      <w:r w:rsidR="000A06AC">
        <w:t xml:space="preserve"> </w:t>
      </w:r>
      <w:r w:rsidR="005D4961">
        <w:t>in 1993</w:t>
      </w:r>
      <w:r w:rsidR="000A06AC">
        <w:t>,</w:t>
      </w:r>
      <w:r w:rsidR="005D4961">
        <w:t xml:space="preserve"> and had come to th</w:t>
      </w:r>
      <w:r w:rsidR="000A06AC">
        <w:t>e same conclusion. Blair succinctly summed up the argument</w:t>
      </w:r>
      <w:r w:rsidR="005D4961">
        <w:t xml:space="preserve"> in the dr</w:t>
      </w:r>
      <w:r w:rsidR="000A06AC">
        <w:t>aft for an unpublished article. Having outlined the lack of early halls with comparable features, he concluded:</w:t>
      </w:r>
    </w:p>
    <w:p w14:paraId="7ACF03A1" w14:textId="77777777" w:rsidR="005D4961" w:rsidRDefault="005D4961" w:rsidP="008E7CFA">
      <w:pPr>
        <w:spacing w:line="360" w:lineRule="auto"/>
      </w:pPr>
    </w:p>
    <w:p w14:paraId="72CB3CDC" w14:textId="4823D731" w:rsidR="00CC6E41" w:rsidRDefault="005D4961" w:rsidP="008E7CFA">
      <w:pPr>
        <w:spacing w:line="360" w:lineRule="auto"/>
        <w:ind w:left="360"/>
      </w:pPr>
      <w:r>
        <w:t xml:space="preserve">‘The clear and obvious analogies for the Horton building are indeed with the minor parish churches and chapels of </w:t>
      </w:r>
      <w:r w:rsidR="00A85CBB">
        <w:t>12th</w:t>
      </w:r>
      <w:r>
        <w:t>-century England: the size, proportions, details and door and window positions can be paralleled in scores if not hundreds of cases.’</w:t>
      </w:r>
      <w:r>
        <w:rPr>
          <w:rStyle w:val="FootnoteReference"/>
        </w:rPr>
        <w:footnoteReference w:id="42"/>
      </w:r>
    </w:p>
    <w:p w14:paraId="79EAAA0C" w14:textId="77777777" w:rsidR="00CC6E41" w:rsidRDefault="00CC6E41" w:rsidP="008E7CFA">
      <w:pPr>
        <w:spacing w:line="360" w:lineRule="auto"/>
      </w:pPr>
    </w:p>
    <w:p w14:paraId="3A8A7E61" w14:textId="2DBEA531" w:rsidR="00EF6969" w:rsidRDefault="00B05861" w:rsidP="00265E4B">
      <w:pPr>
        <w:spacing w:line="360" w:lineRule="auto"/>
        <w:ind w:firstLine="360"/>
      </w:pPr>
      <w:r>
        <w:t>A further and</w:t>
      </w:r>
      <w:r w:rsidR="00133755">
        <w:t xml:space="preserve"> </w:t>
      </w:r>
      <w:r w:rsidR="00954C3E">
        <w:t xml:space="preserve">decisive </w:t>
      </w:r>
      <w:r w:rsidR="00133755">
        <w:t xml:space="preserve">piece of evidence has </w:t>
      </w:r>
      <w:r w:rsidR="00285F7B">
        <w:t xml:space="preserve">subsequently </w:t>
      </w:r>
      <w:r w:rsidR="00133755">
        <w:t>com</w:t>
      </w:r>
      <w:r w:rsidR="007665C0">
        <w:t xml:space="preserve">e to light which </w:t>
      </w:r>
      <w:r w:rsidR="00285F7B">
        <w:t>indicates an</w:t>
      </w:r>
      <w:r w:rsidR="007665C0">
        <w:t xml:space="preserve"> </w:t>
      </w:r>
      <w:r w:rsidR="00133755">
        <w:t xml:space="preserve">ecclesiastical use. As noted above, John Buckler </w:t>
      </w:r>
      <w:r w:rsidR="00177E71">
        <w:t xml:space="preserve">or his son </w:t>
      </w:r>
      <w:r w:rsidR="00133755">
        <w:t>visited the site</w:t>
      </w:r>
      <w:r w:rsidR="00EF6969">
        <w:t xml:space="preserve"> and ma</w:t>
      </w:r>
      <w:r w:rsidR="00D541E3">
        <w:t>de several drawings. On the drawing</w:t>
      </w:r>
      <w:r w:rsidR="00AE2343">
        <w:t xml:space="preserve"> which has</w:t>
      </w:r>
      <w:r w:rsidR="00EF6969">
        <w:t xml:space="preserve"> his measured survey sk</w:t>
      </w:r>
      <w:r w:rsidR="00AE2343">
        <w:t>etch plan of the Norman Hall,</w:t>
      </w:r>
      <w:r w:rsidR="00DB52F4">
        <w:rPr>
          <w:rStyle w:val="FootnoteReference"/>
        </w:rPr>
        <w:footnoteReference w:id="43"/>
      </w:r>
      <w:r w:rsidR="00AE2343">
        <w:t xml:space="preserve"> Buckler</w:t>
      </w:r>
      <w:r w:rsidR="00EF6969">
        <w:t xml:space="preserve"> includes the following transcription, with lettering</w:t>
      </w:r>
      <w:r w:rsidR="00A54191">
        <w:t xml:space="preserve"> in </w:t>
      </w:r>
      <w:r w:rsidR="00D541E3">
        <w:t>Lombardic</w:t>
      </w:r>
      <w:r w:rsidR="00A54191">
        <w:t xml:space="preserve"> capitals of medieval</w:t>
      </w:r>
      <w:r w:rsidR="00D541E3">
        <w:t xml:space="preserve"> type</w:t>
      </w:r>
      <w:r w:rsidR="006E43E6">
        <w:t>, evident</w:t>
      </w:r>
      <w:r w:rsidR="004D12E4">
        <w:t>ly a careful copy of an</w:t>
      </w:r>
      <w:r w:rsidR="00EF6969">
        <w:t xml:space="preserve"> original </w:t>
      </w:r>
      <w:r w:rsidR="004D12E4">
        <w:t>in</w:t>
      </w:r>
      <w:r w:rsidR="00EF6969">
        <w:t>script</w:t>
      </w:r>
      <w:r w:rsidR="004D12E4">
        <w:t>ion in the Hall</w:t>
      </w:r>
      <w:r w:rsidR="00EF6969">
        <w:t>:</w:t>
      </w:r>
    </w:p>
    <w:p w14:paraId="6E1F17FE" w14:textId="77777777" w:rsidR="00EF6969" w:rsidRDefault="00EF6969" w:rsidP="008E7CFA">
      <w:pPr>
        <w:spacing w:line="360" w:lineRule="auto"/>
      </w:pPr>
    </w:p>
    <w:p w14:paraId="39E8536D" w14:textId="77777777" w:rsidR="00133755" w:rsidRPr="006E43E6" w:rsidRDefault="00EF6969" w:rsidP="008E7CFA">
      <w:pPr>
        <w:spacing w:line="360" w:lineRule="auto"/>
        <w:jc w:val="center"/>
        <w:rPr>
          <w:sz w:val="22"/>
          <w:szCs w:val="22"/>
        </w:rPr>
      </w:pPr>
      <w:r w:rsidRPr="006E43E6">
        <w:rPr>
          <w:sz w:val="22"/>
          <w:szCs w:val="22"/>
        </w:rPr>
        <w:t>SANCTA IN CARITATE PERFECTA CONFIRMAT NOS TRINITAS</w:t>
      </w:r>
    </w:p>
    <w:p w14:paraId="20D542A8" w14:textId="77777777" w:rsidR="00133755" w:rsidRDefault="00133755" w:rsidP="008E7CFA">
      <w:pPr>
        <w:spacing w:line="360" w:lineRule="auto"/>
      </w:pPr>
    </w:p>
    <w:p w14:paraId="306AFA81" w14:textId="4494D42E" w:rsidR="00D541E3" w:rsidRDefault="00B05861" w:rsidP="008E7CFA">
      <w:pPr>
        <w:spacing w:line="360" w:lineRule="auto"/>
      </w:pPr>
      <w:r>
        <w:t>T</w:t>
      </w:r>
      <w:r w:rsidR="00B06628">
        <w:t>hese words are found in</w:t>
      </w:r>
      <w:r w:rsidR="00A54191">
        <w:t xml:space="preserve"> a very specific source</w:t>
      </w:r>
      <w:r w:rsidR="00B06628">
        <w:t xml:space="preserve">, the </w:t>
      </w:r>
      <w:r w:rsidR="00A54191">
        <w:t>Sarum Customary</w:t>
      </w:r>
      <w:r w:rsidR="00B06628">
        <w:t>.</w:t>
      </w:r>
      <w:r w:rsidR="00352010">
        <w:rPr>
          <w:rStyle w:val="FootnoteReference"/>
        </w:rPr>
        <w:footnoteReference w:id="44"/>
      </w:r>
      <w:r w:rsidR="00B06628">
        <w:t xml:space="preserve"> The Customary was compiled to provide the clergy at Salisbury Cathedral with a set of instructions for the liturgy. The words form part of a blessing to be used on the feast of All Saints</w:t>
      </w:r>
      <w:r w:rsidR="003E3032">
        <w:t xml:space="preserve"> in the New Customary</w:t>
      </w:r>
      <w:r w:rsidR="00B06628">
        <w:t xml:space="preserve">, </w:t>
      </w:r>
      <w:r w:rsidR="003E3032">
        <w:t>which was in use from the mid-</w:t>
      </w:r>
      <w:r w:rsidR="00A85CBB">
        <w:t>13th</w:t>
      </w:r>
      <w:r w:rsidR="007665C0">
        <w:t xml:space="preserve"> century onwards.</w:t>
      </w:r>
      <w:r w:rsidR="00352010">
        <w:rPr>
          <w:rStyle w:val="FootnoteReference"/>
        </w:rPr>
        <w:footnoteReference w:id="45"/>
      </w:r>
      <w:r w:rsidR="007665C0">
        <w:t xml:space="preserve"> The text is</w:t>
      </w:r>
      <w:r w:rsidR="003E3032">
        <w:t xml:space="preserve"> also found in the </w:t>
      </w:r>
      <w:r w:rsidR="00B06628">
        <w:t>Old Customary</w:t>
      </w:r>
      <w:r w:rsidR="003E3032">
        <w:t xml:space="preserve">, written for the liturgy in the </w:t>
      </w:r>
      <w:r w:rsidR="003E3032">
        <w:lastRenderedPageBreak/>
        <w:t>earlier cathedral at Old Sarum, before the relocation to Salisbury.</w:t>
      </w:r>
      <w:r w:rsidR="00841CDB">
        <w:rPr>
          <w:rStyle w:val="FootnoteReference"/>
        </w:rPr>
        <w:footnoteReference w:id="46"/>
      </w:r>
      <w:r w:rsidR="003E3032">
        <w:t xml:space="preserve"> </w:t>
      </w:r>
      <w:r w:rsidR="003E3032" w:rsidRPr="007665C0">
        <w:t>The</w:t>
      </w:r>
      <w:r w:rsidR="003E3032">
        <w:t xml:space="preserve"> Customary would have been an important document in the lives of all the medieval prebend</w:t>
      </w:r>
      <w:r w:rsidR="00285F7B">
        <w:t>arie</w:t>
      </w:r>
      <w:r w:rsidR="003E3032">
        <w:t xml:space="preserve">s </w:t>
      </w:r>
      <w:r w:rsidR="007665C0">
        <w:t xml:space="preserve">of Salisbury who held Horton. It seems that </w:t>
      </w:r>
      <w:r w:rsidR="003E3032">
        <w:t>Buckler must have faithfully copied a medieval inscription which survived in the Norman Ha</w:t>
      </w:r>
      <w:r w:rsidR="007665C0">
        <w:t xml:space="preserve">ll into the </w:t>
      </w:r>
      <w:r w:rsidR="00A85CBB">
        <w:t>19th</w:t>
      </w:r>
      <w:r w:rsidR="007665C0" w:rsidRPr="00B05861">
        <w:t xml:space="preserve"> century</w:t>
      </w:r>
      <w:r w:rsidR="007665C0">
        <w:t>. The direct liturgical character of the lost inscription again points towards the earlier use of the building as ecclesiastical, rather than domestic</w:t>
      </w:r>
      <w:r w:rsidR="00285F7B">
        <w:t xml:space="preserve">, since it is most unlikely to have </w:t>
      </w:r>
      <w:r w:rsidR="006D4360">
        <w:t xml:space="preserve">had </w:t>
      </w:r>
      <w:r w:rsidR="00285F7B">
        <w:t>a place in a secular setting</w:t>
      </w:r>
      <w:r w:rsidR="007665C0">
        <w:t xml:space="preserve">. </w:t>
      </w:r>
      <w:r w:rsidR="00217466">
        <w:t xml:space="preserve">The Lombardic capitals indicated </w:t>
      </w:r>
      <w:r w:rsidR="00771CA0">
        <w:t xml:space="preserve">in Buckler’s drawing suggest a date for the inscription </w:t>
      </w:r>
      <w:r w:rsidR="00612644">
        <w:t>within</w:t>
      </w:r>
      <w:r w:rsidR="00771CA0">
        <w:t xml:space="preserve"> their main period of currency, from the third quarter of the </w:t>
      </w:r>
      <w:r w:rsidR="00A85CBB">
        <w:t>13th</w:t>
      </w:r>
      <w:r w:rsidR="00771CA0">
        <w:t xml:space="preserve"> century to the middle of the </w:t>
      </w:r>
      <w:r w:rsidR="00A85CBB">
        <w:t>14th</w:t>
      </w:r>
      <w:r w:rsidR="00771CA0">
        <w:t xml:space="preserve"> century.</w:t>
      </w:r>
      <w:r w:rsidR="00771CA0">
        <w:rPr>
          <w:rStyle w:val="FootnoteReference"/>
        </w:rPr>
        <w:footnoteReference w:id="47"/>
      </w:r>
      <w:r w:rsidR="00771CA0">
        <w:t xml:space="preserve"> </w:t>
      </w:r>
    </w:p>
    <w:p w14:paraId="3D7CB642" w14:textId="5AABCE80" w:rsidR="00562560" w:rsidRDefault="007B11B1" w:rsidP="00765FB1">
      <w:pPr>
        <w:spacing w:line="360" w:lineRule="auto"/>
        <w:ind w:firstLine="720"/>
      </w:pPr>
      <w:r>
        <w:t xml:space="preserve">An interesting comparable to Horton is the </w:t>
      </w:r>
      <w:r w:rsidR="00EE7B09">
        <w:t>‘Norman Hall’</w:t>
      </w:r>
      <w:r w:rsidR="00133755">
        <w:t xml:space="preserve"> </w:t>
      </w:r>
      <w:r w:rsidR="00EE7B09">
        <w:t xml:space="preserve">which stands opposite to the church in the village of </w:t>
      </w:r>
      <w:r w:rsidR="00133755">
        <w:t>Sutton Courtena</w:t>
      </w:r>
      <w:r>
        <w:t>y</w:t>
      </w:r>
      <w:r w:rsidR="00EE7B09">
        <w:t xml:space="preserve"> (now </w:t>
      </w:r>
      <w:r w:rsidR="00B54BE2">
        <w:t>Oxfordshire</w:t>
      </w:r>
      <w:r w:rsidR="00EE7B09">
        <w:t>)</w:t>
      </w:r>
      <w:r w:rsidR="00B54BE2">
        <w:t xml:space="preserve">. Like Horton, it had been thought to be a domestic hall, but detailed study of the building and documentary evidence by Christopher Currie </w:t>
      </w:r>
      <w:r w:rsidR="001C6A9D">
        <w:t>has indicated</w:t>
      </w:r>
      <w:r w:rsidR="00B54BE2">
        <w:t xml:space="preserve"> that it was much more likely to have been </w:t>
      </w:r>
      <w:r w:rsidR="001C6A9D">
        <w:t xml:space="preserve">built as </w:t>
      </w:r>
      <w:r w:rsidR="00B54BE2">
        <w:t>a chapel.</w:t>
      </w:r>
      <w:r w:rsidR="00B54BE2">
        <w:rPr>
          <w:rStyle w:val="FootnoteReference"/>
        </w:rPr>
        <w:footnoteReference w:id="48"/>
      </w:r>
      <w:r w:rsidR="00B54BE2">
        <w:t xml:space="preserve"> </w:t>
      </w:r>
      <w:r w:rsidR="001C6A9D">
        <w:t xml:space="preserve">Dating from </w:t>
      </w:r>
      <w:r w:rsidR="001C6A9D" w:rsidRPr="00DB52F4">
        <w:rPr>
          <w:i/>
        </w:rPr>
        <w:t>c</w:t>
      </w:r>
      <w:r w:rsidR="00285F7B">
        <w:t>.1200–</w:t>
      </w:r>
      <w:r w:rsidR="001C6A9D">
        <w:t>1220, i</w:t>
      </w:r>
      <w:r w:rsidR="00B54BE2">
        <w:t xml:space="preserve">t is of similar form to Horton, a rectangular building with tall walls and a narrow span of </w:t>
      </w:r>
      <w:r w:rsidR="00B54BE2" w:rsidRPr="00DB52F4">
        <w:rPr>
          <w:i/>
        </w:rPr>
        <w:t>c</w:t>
      </w:r>
      <w:r w:rsidR="00B54BE2">
        <w:t>.5.2m</w:t>
      </w:r>
      <w:r w:rsidR="008D6E8A">
        <w:t xml:space="preserve"> (Fig</w:t>
      </w:r>
      <w:r w:rsidR="002A1343">
        <w:t>.</w:t>
      </w:r>
      <w:r w:rsidR="008D6E8A">
        <w:t xml:space="preserve"> </w:t>
      </w:r>
      <w:r w:rsidR="002A1343" w:rsidRPr="002A1343">
        <w:t>15</w:t>
      </w:r>
      <w:r w:rsidR="008D6E8A" w:rsidRPr="002A1343">
        <w:t>)</w:t>
      </w:r>
      <w:r w:rsidR="00B54BE2" w:rsidRPr="002A1343">
        <w:t xml:space="preserve">. However, both gables survive, with an internal length of </w:t>
      </w:r>
      <w:r w:rsidR="00B54BE2" w:rsidRPr="002A1343">
        <w:rPr>
          <w:i/>
        </w:rPr>
        <w:t>c</w:t>
      </w:r>
      <w:r w:rsidR="00B54BE2" w:rsidRPr="002A1343">
        <w:t xml:space="preserve">.14.8m, </w:t>
      </w:r>
      <w:r w:rsidR="001C6A9D" w:rsidRPr="002A1343">
        <w:t>considerably</w:t>
      </w:r>
      <w:r w:rsidR="001C6A9D">
        <w:t xml:space="preserve"> longer than the truncated Horton. It has an impressive entrance doorway with a moulded round arch and attached shafts to the jambs. Like Horton, the doorway is set </w:t>
      </w:r>
      <w:r w:rsidR="008D6E8A">
        <w:t>one bay along from the west gable. There is also a north doorway, less elaborate than the main entrance, and set a little further west. The south front has evidence for one lancet window to the west of the doorway and three to the east. The lancets are set high up in the wall as at Horton, but are narrower. The north wall had a wider window, perhaps of two lights, set between two lancets. The west gable has a lancet of similar narrow width, but much taller</w:t>
      </w:r>
      <w:r w:rsidR="00EE7B09">
        <w:t xml:space="preserve">. The central section of the east gable has been altered, so the evidence for original windows has been lost. The east end presumably formed the chancel, though it is not differentiated from the nave. Documentary evidence indicates that the </w:t>
      </w:r>
      <w:r w:rsidR="00882CAE">
        <w:t xml:space="preserve">early </w:t>
      </w:r>
      <w:r w:rsidR="00EE7B09">
        <w:t>main manor house site was located around 20</w:t>
      </w:r>
      <w:r w:rsidR="00882CAE">
        <w:t>0m to the south-we</w:t>
      </w:r>
      <w:r w:rsidR="00EE7B09">
        <w:t>st</w:t>
      </w:r>
      <w:r w:rsidR="00DB3DD6">
        <w:t xml:space="preserve">, </w:t>
      </w:r>
      <w:r w:rsidR="00235D16" w:rsidRPr="00235D16">
        <w:t xml:space="preserve">which was split off in the late 13th or early 14th </w:t>
      </w:r>
      <w:r w:rsidR="00235D16" w:rsidRPr="00235D16">
        <w:lastRenderedPageBreak/>
        <w:t xml:space="preserve">century as the manor-house of a sub-manor, and </w:t>
      </w:r>
      <w:r w:rsidR="00235D16">
        <w:t>‘</w:t>
      </w:r>
      <w:r w:rsidR="00235D16" w:rsidRPr="00235D16">
        <w:t>Norman Hall</w:t>
      </w:r>
      <w:r w:rsidR="00235D16">
        <w:t>’</w:t>
      </w:r>
      <w:r w:rsidR="00235D16" w:rsidRPr="00235D16">
        <w:t xml:space="preserve"> then became the centre of the main manor.</w:t>
      </w:r>
      <w:r w:rsidR="00DB3DD6">
        <w:t xml:space="preserve"> Currie concluded that the ‘Norman Hall’ was built as a chapel for the original manor</w:t>
      </w:r>
      <w:r w:rsidR="00C027F2">
        <w:t>, and converted to domestic use around 1300</w:t>
      </w:r>
      <w:r w:rsidR="00DB3DD6">
        <w:t xml:space="preserve">. </w:t>
      </w:r>
      <w:r w:rsidR="00C027F2">
        <w:t>To explain t</w:t>
      </w:r>
      <w:r w:rsidR="00DB3DD6">
        <w:t>he considerable distance between the original ma</w:t>
      </w:r>
      <w:r w:rsidR="00C027F2">
        <w:t>nor and the chapel, Currie thought the chapel ‘may have been intended for use by the tenants of the manor rather than for purely domestic purposes’.</w:t>
      </w:r>
      <w:r w:rsidR="00DB3DD6">
        <w:t xml:space="preserve"> </w:t>
      </w:r>
      <w:r w:rsidR="00562560">
        <w:t>The location of the chapel at Sutto</w:t>
      </w:r>
      <w:r w:rsidR="00F36472">
        <w:t xml:space="preserve">n Courtenay is certainly </w:t>
      </w:r>
      <w:r w:rsidR="00562560">
        <w:t xml:space="preserve">odd, though it is </w:t>
      </w:r>
      <w:r w:rsidR="00F36472">
        <w:t xml:space="preserve">55m west of the church and across the street, rather than immediately adjoining it, as at Horton. </w:t>
      </w:r>
      <w:r w:rsidR="00DD1C02">
        <w:t>Sutton Courtenay’s ‘Norman Hall</w:t>
      </w:r>
      <w:r w:rsidR="009E60E5">
        <w:t>’</w:t>
      </w:r>
      <w:r w:rsidR="00DD1C02">
        <w:t>, like that at Horton, has a later roof with smoke-blackening from its use as an open hall, followed by the insertion of a first floor.</w:t>
      </w:r>
      <w:r w:rsidR="009E60E5">
        <w:t xml:space="preserve"> </w:t>
      </w:r>
    </w:p>
    <w:p w14:paraId="781DE232" w14:textId="775BA148" w:rsidR="00741F62" w:rsidRDefault="00BC59A7" w:rsidP="00765FB1">
      <w:pPr>
        <w:spacing w:line="360" w:lineRule="auto"/>
        <w:ind w:firstLine="720"/>
      </w:pPr>
      <w:r>
        <w:t xml:space="preserve">The evidence at Horton thus points strongly towards ecclesiastical use, but was it a church or a chapel? The existing church </w:t>
      </w:r>
      <w:r w:rsidR="00D410E2">
        <w:t xml:space="preserve">was rebuilt in the </w:t>
      </w:r>
      <w:r w:rsidR="00A85CBB">
        <w:t>15th</w:t>
      </w:r>
      <w:r w:rsidR="00D410E2">
        <w:t xml:space="preserve"> century, incorporating a </w:t>
      </w:r>
      <w:r w:rsidR="00A85CBB">
        <w:t>14th</w:t>
      </w:r>
      <w:r w:rsidR="00D410E2">
        <w:t xml:space="preserve">-century arcade to the north aisle. The only earlier features are the re-cut Norman font bowl and a pillar piscina in the chancel, but both have probably been re-located. It is therefore conceivable that the Norman Hall was built as the </w:t>
      </w:r>
      <w:r w:rsidR="00A85CBB">
        <w:t>12th</w:t>
      </w:r>
      <w:r w:rsidR="00D410E2">
        <w:t>-century church. However,</w:t>
      </w:r>
      <w:r w:rsidR="00B93B95">
        <w:t xml:space="preserve"> as the Harcourts have argued, t</w:t>
      </w:r>
      <w:r w:rsidR="00D410E2">
        <w:t>his seem</w:t>
      </w:r>
      <w:r w:rsidR="00B93B95">
        <w:t>s unlikely.</w:t>
      </w:r>
      <w:r w:rsidR="00B93B95">
        <w:rPr>
          <w:rStyle w:val="FootnoteReference"/>
        </w:rPr>
        <w:footnoteReference w:id="49"/>
      </w:r>
      <w:r w:rsidR="00B93B95">
        <w:t xml:space="preserve"> </w:t>
      </w:r>
      <w:r w:rsidR="006E7187">
        <w:t xml:space="preserve">The church sits on a hill-top platform, with the raised churchyard extending to west, north and east. </w:t>
      </w:r>
      <w:r w:rsidR="00B93B95">
        <w:t>The Norman Hall is located on sloping ground at the southern edge of the churchyard. The natural location for the original church would sure</w:t>
      </w:r>
      <w:r w:rsidR="006E7187">
        <w:t>ly have been the existing site, on the main hill-top platform, not below it. The north side of the Norman Hall, with its ashlar facing and fine doorway, was also clearly built as a principal elevation, for which the most obvious explanation is that it faced the original church</w:t>
      </w:r>
      <w:r w:rsidR="001060C5">
        <w:t>,</w:t>
      </w:r>
      <w:r w:rsidR="009B4A72">
        <w:t xml:space="preserve"> with which it would have been compared</w:t>
      </w:r>
      <w:r w:rsidR="006E7187">
        <w:t xml:space="preserve">. </w:t>
      </w:r>
      <w:r w:rsidR="0033460C">
        <w:t xml:space="preserve">Finally, the Norman Hall would have been modest in size for a church, </w:t>
      </w:r>
      <w:r w:rsidR="008C77D1">
        <w:t xml:space="preserve">with the nave </w:t>
      </w:r>
      <w:r w:rsidR="0033460C">
        <w:t xml:space="preserve">measuring </w:t>
      </w:r>
      <w:r w:rsidR="00200155">
        <w:t xml:space="preserve">internally </w:t>
      </w:r>
      <w:r w:rsidR="0033460C">
        <w:t>only 9.5m long</w:t>
      </w:r>
      <w:r w:rsidR="008C77D1">
        <w:t xml:space="preserve"> and </w:t>
      </w:r>
      <w:r w:rsidR="009B4A72">
        <w:t>5.0</w:t>
      </w:r>
      <w:r w:rsidR="008C77D1">
        <w:t>m wide</w:t>
      </w:r>
      <w:r w:rsidR="0033460C">
        <w:t xml:space="preserve">. Even allowing for the </w:t>
      </w:r>
      <w:proofErr w:type="spellStart"/>
      <w:r w:rsidR="0033460C">
        <w:t>unaisled</w:t>
      </w:r>
      <w:proofErr w:type="spellEnd"/>
      <w:r w:rsidR="0033460C">
        <w:t xml:space="preserve"> form of many parish churches of the late </w:t>
      </w:r>
      <w:r w:rsidR="003C55FC">
        <w:t>12</w:t>
      </w:r>
      <w:r w:rsidR="0033460C">
        <w:t>th century, this is somewhat small.</w:t>
      </w:r>
      <w:r w:rsidR="00593A21">
        <w:rPr>
          <w:rStyle w:val="FootnoteReference"/>
        </w:rPr>
        <w:footnoteReference w:id="50"/>
      </w:r>
      <w:r w:rsidR="00200155">
        <w:t xml:space="preserve"> There were, however, other equally diminutive parish churches of this period, such as </w:t>
      </w:r>
      <w:proofErr w:type="spellStart"/>
      <w:r w:rsidR="00200155">
        <w:t>Winterborne</w:t>
      </w:r>
      <w:proofErr w:type="spellEnd"/>
      <w:r w:rsidR="00200155">
        <w:t xml:space="preserve"> Tomson (Dorset) measuring </w:t>
      </w:r>
      <w:r w:rsidR="002C5A98">
        <w:t>10.4 by 4.8</w:t>
      </w:r>
      <w:r w:rsidR="00FD379C">
        <w:t>m</w:t>
      </w:r>
      <w:r w:rsidR="00134094">
        <w:t xml:space="preserve"> internally, </w:t>
      </w:r>
      <w:r w:rsidR="002C5A98">
        <w:t xml:space="preserve">not including the </w:t>
      </w:r>
      <w:r w:rsidR="00134094">
        <w:t>apse.</w:t>
      </w:r>
      <w:r w:rsidR="00593A21">
        <w:rPr>
          <w:rStyle w:val="FootnoteReference"/>
        </w:rPr>
        <w:footnoteReference w:id="51"/>
      </w:r>
    </w:p>
    <w:p w14:paraId="47848010" w14:textId="4CA1540F" w:rsidR="00AD029E" w:rsidRDefault="00D73DBA" w:rsidP="00765FB1">
      <w:pPr>
        <w:spacing w:line="360" w:lineRule="auto"/>
        <w:ind w:firstLine="720"/>
      </w:pPr>
      <w:r>
        <w:lastRenderedPageBreak/>
        <w:t xml:space="preserve">Medieval chapels may be </w:t>
      </w:r>
      <w:r w:rsidR="00C70007">
        <w:t xml:space="preserve">very </w:t>
      </w:r>
      <w:r>
        <w:t>broadly divided into three types – domestic chapels serving the houses of manorial lords and other wealthy individuals, chapels of ease remote from the parish church and cult chapels serving a particular religious purpose.</w:t>
      </w:r>
      <w:r>
        <w:rPr>
          <w:rStyle w:val="FootnoteReference"/>
        </w:rPr>
        <w:footnoteReference w:id="52"/>
      </w:r>
      <w:r>
        <w:t xml:space="preserve"> The second of these is clearly not relevant here</w:t>
      </w:r>
      <w:r w:rsidR="009B4A72">
        <w:t>, if the argument above is correct.</w:t>
      </w:r>
      <w:r>
        <w:t xml:space="preserve"> </w:t>
      </w:r>
      <w:r w:rsidR="009B4A72">
        <w:t>I</w:t>
      </w:r>
      <w:r>
        <w:t>t seems more likely from it</w:t>
      </w:r>
      <w:r w:rsidR="009B4A72">
        <w:t>s</w:t>
      </w:r>
      <w:r>
        <w:t xml:space="preserve"> position that </w:t>
      </w:r>
      <w:r w:rsidR="00505260">
        <w:t>Horton</w:t>
      </w:r>
      <w:r>
        <w:t xml:space="preserve"> was a manorial chapel. It is</w:t>
      </w:r>
      <w:r w:rsidR="00AD029E">
        <w:t>, however,</w:t>
      </w:r>
      <w:r>
        <w:t xml:space="preserve"> worth investigating first the possibility that this might have been a cult chapel. </w:t>
      </w:r>
      <w:proofErr w:type="spellStart"/>
      <w:r w:rsidR="00AD029E">
        <w:t>Sailholme</w:t>
      </w:r>
      <w:proofErr w:type="spellEnd"/>
      <w:r w:rsidR="00AD029E">
        <w:t xml:space="preserve"> in </w:t>
      </w:r>
      <w:proofErr w:type="spellStart"/>
      <w:r w:rsidR="00AD029E">
        <w:t>Wainfleet</w:t>
      </w:r>
      <w:proofErr w:type="spellEnd"/>
      <w:r w:rsidR="00AD029E">
        <w:t xml:space="preserve"> (Lincs.) was founded in the late </w:t>
      </w:r>
      <w:r w:rsidR="003C55FC">
        <w:t>12</w:t>
      </w:r>
      <w:r w:rsidR="00AD029E">
        <w:t>th century to serve a new settlement there remote from the parish church.</w:t>
      </w:r>
      <w:r w:rsidR="00505260">
        <w:rPr>
          <w:rStyle w:val="FootnoteReference"/>
        </w:rPr>
        <w:footnoteReference w:id="53"/>
      </w:r>
      <w:r w:rsidR="00AD029E">
        <w:t xml:space="preserve"> It had become ruinous in the late </w:t>
      </w:r>
      <w:r w:rsidR="00A85CBB">
        <w:t>14th</w:t>
      </w:r>
      <w:r w:rsidR="00AD029E">
        <w:t xml:space="preserve"> century when its fortunes were revived by the image of St Edmund, which was said to have worked miracles for local people. Even parish churches might have cult chapels within their </w:t>
      </w:r>
      <w:r w:rsidR="00505260">
        <w:t>graveyard, such as that dedicated to St Mary situated in the churchyard of Camborne (Cornwall).</w:t>
      </w:r>
      <w:r w:rsidR="00505260">
        <w:rPr>
          <w:rStyle w:val="FootnoteReference"/>
        </w:rPr>
        <w:footnoteReference w:id="54"/>
      </w:r>
      <w:r w:rsidR="00505260">
        <w:t xml:space="preserve"> There was a chapel within the churchyard at </w:t>
      </w:r>
      <w:proofErr w:type="spellStart"/>
      <w:r w:rsidR="00505260">
        <w:t>Eastry</w:t>
      </w:r>
      <w:proofErr w:type="spellEnd"/>
      <w:r w:rsidR="00505260">
        <w:t xml:space="preserve"> in Kent, adjoining the church, by the early </w:t>
      </w:r>
      <w:r w:rsidR="003C55FC">
        <w:t>15</w:t>
      </w:r>
      <w:r w:rsidR="00505260">
        <w:t xml:space="preserve">th century, and others in the same county at </w:t>
      </w:r>
      <w:proofErr w:type="spellStart"/>
      <w:r w:rsidR="00505260">
        <w:t>Mersham</w:t>
      </w:r>
      <w:proofErr w:type="spellEnd"/>
      <w:r w:rsidR="00505260">
        <w:t xml:space="preserve"> and Minster in Sheppey.</w:t>
      </w:r>
      <w:r w:rsidR="00505260">
        <w:rPr>
          <w:rStyle w:val="FootnoteReference"/>
        </w:rPr>
        <w:footnoteReference w:id="55"/>
      </w:r>
      <w:r w:rsidR="00505260">
        <w:t xml:space="preserve"> The first of these, at least, seems to have been a cult chapel as there was as a separate manorial chapel.</w:t>
      </w:r>
      <w:r w:rsidR="000A56AA">
        <w:t xml:space="preserve"> </w:t>
      </w:r>
    </w:p>
    <w:p w14:paraId="61F4C561" w14:textId="4E7E6E68" w:rsidR="00E540A5" w:rsidRDefault="000A56AA" w:rsidP="00765FB1">
      <w:pPr>
        <w:spacing w:line="360" w:lineRule="auto"/>
        <w:ind w:firstLine="720"/>
      </w:pPr>
      <w:r>
        <w:t>Even</w:t>
      </w:r>
      <w:r w:rsidR="00E65FC9">
        <w:t xml:space="preserve"> so, </w:t>
      </w:r>
      <w:r w:rsidR="009B4A72">
        <w:t>on the balance of probabilities it is more likely</w:t>
      </w:r>
      <w:r w:rsidR="00E65FC9">
        <w:t xml:space="preserve"> that the chapel at Horton was a manorial foundation rather than a cult chapel. </w:t>
      </w:r>
      <w:r w:rsidR="00C61FC8">
        <w:t xml:space="preserve">From the </w:t>
      </w:r>
      <w:r w:rsidR="003C55FC">
        <w:t>12</w:t>
      </w:r>
      <w:r w:rsidR="00C61FC8">
        <w:t>th century onwards i</w:t>
      </w:r>
      <w:r w:rsidR="00E540A5">
        <w:t xml:space="preserve">t was common for </w:t>
      </w:r>
      <w:r w:rsidR="00C61FC8">
        <w:t xml:space="preserve">manorial </w:t>
      </w:r>
      <w:r w:rsidR="00E540A5">
        <w:t>lords to have their own chapels</w:t>
      </w:r>
      <w:r w:rsidR="000C14D3">
        <w:t xml:space="preserve">, though </w:t>
      </w:r>
      <w:r w:rsidR="00285F7B">
        <w:t>the earliest</w:t>
      </w:r>
      <w:r w:rsidR="000C14D3">
        <w:t xml:space="preserve"> examples generally survive</w:t>
      </w:r>
      <w:r w:rsidR="00424153">
        <w:t xml:space="preserve"> only in castles </w:t>
      </w:r>
      <w:r w:rsidR="000C14D3">
        <w:t>or other major buildings.</w:t>
      </w:r>
      <w:r w:rsidR="000C14D3">
        <w:rPr>
          <w:rStyle w:val="FootnoteReference"/>
        </w:rPr>
        <w:footnoteReference w:id="56"/>
      </w:r>
      <w:r w:rsidR="000C14D3">
        <w:t xml:space="preserve"> </w:t>
      </w:r>
      <w:r w:rsidR="00E87172">
        <w:t xml:space="preserve">The quality of the masonry on the north side, albeit reused, and of the north and south doorways, suggest that this was a prestigious building. Its construction must have been supported by abundant funds. </w:t>
      </w:r>
      <w:r w:rsidR="00E65FC9">
        <w:t xml:space="preserve">Private </w:t>
      </w:r>
      <w:r w:rsidR="000C14D3">
        <w:t>chapels of the later medieval period also tended to be built as part of the main house, rather than as free-standing buildings. The ‘Norman Hall’ at Sutton Courtenay</w:t>
      </w:r>
      <w:r w:rsidR="007E3D05">
        <w:t>, however, provides a comparable</w:t>
      </w:r>
      <w:r w:rsidR="000C14D3">
        <w:t xml:space="preserve"> example of an early free-standing c</w:t>
      </w:r>
      <w:r w:rsidR="00131A3A">
        <w:t xml:space="preserve">hapel built for a manor house. The location of the chapel at </w:t>
      </w:r>
      <w:r w:rsidR="00131A3A">
        <w:lastRenderedPageBreak/>
        <w:t xml:space="preserve">Horton, placed so close to the church, is unusual but </w:t>
      </w:r>
      <w:r w:rsidR="00EE3BC0">
        <w:t xml:space="preserve">again </w:t>
      </w:r>
      <w:r w:rsidR="00131A3A">
        <w:t xml:space="preserve">not exceptional. </w:t>
      </w:r>
      <w:r w:rsidR="00C70007">
        <w:t>A contract for a funerary chapel for the deceased lord of Southchurch (Essex) dating to 1293 is one example of such a building in the graveyard.</w:t>
      </w:r>
      <w:r w:rsidR="00C70007">
        <w:rPr>
          <w:rStyle w:val="FootnoteReference"/>
        </w:rPr>
        <w:footnoteReference w:id="57"/>
      </w:r>
      <w:r w:rsidR="000C14D3">
        <w:t xml:space="preserve"> </w:t>
      </w:r>
      <w:r w:rsidR="00EE3BC0">
        <w:t>In the case of Horton, the fact that the advowson of the parish church w</w:t>
      </w:r>
      <w:r w:rsidR="00202A33">
        <w:t>as</w:t>
      </w:r>
      <w:r w:rsidR="00EE3BC0">
        <w:t xml:space="preserve"> probably in the hands of the prebendary must have eased any problems that the </w:t>
      </w:r>
      <w:r w:rsidR="0066724C">
        <w:t>foundation of his</w:t>
      </w:r>
      <w:r w:rsidR="00EE3BC0">
        <w:t xml:space="preserve"> chapel might have caused.</w:t>
      </w:r>
      <w:r w:rsidR="00EE3BC0">
        <w:rPr>
          <w:rStyle w:val="FootnoteReference"/>
        </w:rPr>
        <w:footnoteReference w:id="58"/>
      </w:r>
      <w:r w:rsidR="00EE3BC0">
        <w:t xml:space="preserve"> </w:t>
      </w:r>
      <w:r w:rsidR="00131A3A">
        <w:t>The fine north doorway would certainly have provided convenient direct access to the church for Horton’s prebend</w:t>
      </w:r>
      <w:r w:rsidR="00020BB6">
        <w:t>ary</w:t>
      </w:r>
      <w:r w:rsidR="00131A3A">
        <w:t>. The original</w:t>
      </w:r>
      <w:r w:rsidR="00C32C80">
        <w:t>, smaller</w:t>
      </w:r>
      <w:r w:rsidR="00131A3A">
        <w:t xml:space="preserve"> </w:t>
      </w:r>
      <w:r w:rsidR="00E87172">
        <w:t xml:space="preserve">parish </w:t>
      </w:r>
      <w:r w:rsidR="00131A3A">
        <w:t xml:space="preserve">church </w:t>
      </w:r>
      <w:r w:rsidR="003B1B90">
        <w:t>might</w:t>
      </w:r>
      <w:r w:rsidR="00C32C80">
        <w:t xml:space="preserve"> have been located a little further off, though the presence of a north aisle and lack of a south </w:t>
      </w:r>
      <w:r w:rsidR="003B1B90">
        <w:t>aisle suggest</w:t>
      </w:r>
      <w:r w:rsidR="00C32C80">
        <w:t xml:space="preserve"> the original building</w:t>
      </w:r>
      <w:r w:rsidR="003B1B90">
        <w:t>, while it may not have extended so far to the east,</w:t>
      </w:r>
      <w:r w:rsidR="00C32C80">
        <w:t xml:space="preserve"> was not further to the north. </w:t>
      </w:r>
      <w:r w:rsidR="003B1B90">
        <w:t>In original form, t</w:t>
      </w:r>
      <w:r w:rsidR="00C32C80">
        <w:t>he east end</w:t>
      </w:r>
      <w:r w:rsidR="00DF554E">
        <w:t xml:space="preserve"> of Horton’s chapel probably extended as</w:t>
      </w:r>
      <w:r w:rsidR="00C32C80">
        <w:t xml:space="preserve"> a square-ended chancel, as apsidal chancels had been superseded by the mid-</w:t>
      </w:r>
      <w:r w:rsidR="003C55FC">
        <w:t>12</w:t>
      </w:r>
      <w:r w:rsidR="00C32C80">
        <w:t>th century.</w:t>
      </w:r>
      <w:r w:rsidR="00C32C80">
        <w:rPr>
          <w:rStyle w:val="FootnoteReference"/>
        </w:rPr>
        <w:footnoteReference w:id="59"/>
      </w:r>
      <w:r w:rsidR="00C32C80">
        <w:t xml:space="preserve"> </w:t>
      </w:r>
      <w:r w:rsidR="00131A3A">
        <w:t xml:space="preserve"> </w:t>
      </w:r>
      <w:r w:rsidR="00105CDA">
        <w:t xml:space="preserve"> </w:t>
      </w:r>
    </w:p>
    <w:p w14:paraId="6BBB2D88" w14:textId="77777777" w:rsidR="00F85778" w:rsidRDefault="00F85778" w:rsidP="008E7CFA">
      <w:pPr>
        <w:spacing w:line="360" w:lineRule="auto"/>
      </w:pPr>
    </w:p>
    <w:p w14:paraId="7956B192" w14:textId="46F5736E" w:rsidR="009B4A72" w:rsidRDefault="009B4A72" w:rsidP="008E7CFA">
      <w:pPr>
        <w:spacing w:line="360" w:lineRule="auto"/>
      </w:pPr>
      <w:r>
        <w:t>LATER DEVELOPMENT TO 1547</w:t>
      </w:r>
    </w:p>
    <w:p w14:paraId="7EC6DF1E" w14:textId="77777777" w:rsidR="005C7F21" w:rsidRDefault="005C7F21" w:rsidP="008E7CFA">
      <w:pPr>
        <w:spacing w:line="360" w:lineRule="auto"/>
      </w:pPr>
    </w:p>
    <w:p w14:paraId="08399C98" w14:textId="516FD10E" w:rsidR="00643FC3" w:rsidRDefault="00BF6B53" w:rsidP="008E7CFA">
      <w:pPr>
        <w:spacing w:line="360" w:lineRule="auto"/>
      </w:pPr>
      <w:r>
        <w:t xml:space="preserve"> The first alteration that can be identified to the Norman Hall </w:t>
      </w:r>
      <w:r w:rsidR="009B4A72">
        <w:t xml:space="preserve">after its initial construction </w:t>
      </w:r>
      <w:r>
        <w:t>is the enlargement of the west window</w:t>
      </w:r>
      <w:r w:rsidR="00265E4B">
        <w:t xml:space="preserve"> (</w:t>
      </w:r>
      <w:r w:rsidR="00265E4B" w:rsidRPr="002A1343">
        <w:t xml:space="preserve">Fig. </w:t>
      </w:r>
      <w:r w:rsidR="002A1343" w:rsidRPr="002A1343">
        <w:t>12</w:t>
      </w:r>
      <w:r w:rsidR="00265E4B" w:rsidRPr="002A1343">
        <w:t>B</w:t>
      </w:r>
      <w:r w:rsidR="00265E4B">
        <w:t>)</w:t>
      </w:r>
      <w:r>
        <w:t>. A visitor in 1833, prior to the alterations of 1849, recorded that ‘A Gothic window terminated the west end of the chapel, with beautiful tracery’.</w:t>
      </w:r>
      <w:r>
        <w:rPr>
          <w:rStyle w:val="FootnoteReference"/>
        </w:rPr>
        <w:footnoteReference w:id="60"/>
      </w:r>
      <w:r w:rsidR="00BC60D4">
        <w:t xml:space="preserve"> It seems likely this alteration, which included widening the window and re-setting the </w:t>
      </w:r>
      <w:r w:rsidR="00A85CBB">
        <w:t>12th</w:t>
      </w:r>
      <w:r w:rsidR="00BC60D4">
        <w:t xml:space="preserve">-century moulded jambs, occurred before the insertion of the gallery, which would have rather spoiled the effect of the new tracery. The gallery, with its stone vice stair, would have been added when the building was still a </w:t>
      </w:r>
      <w:r w:rsidR="003C55FC">
        <w:t>chapel, probably in the 14th or early 15</w:t>
      </w:r>
      <w:r w:rsidR="00BC60D4">
        <w:t xml:space="preserve">th century. It may have been accompanied by the addition of the three buttresses to the north wall, the work perhaps dated by the stone over the north doorway with the arms of Robert Neville who was </w:t>
      </w:r>
      <w:r w:rsidR="00BC60D4" w:rsidRPr="000C1456">
        <w:t>Bishop of Salisbur</w:t>
      </w:r>
      <w:r w:rsidR="0027140C">
        <w:t>y in 1427–</w:t>
      </w:r>
      <w:r w:rsidR="00BC60D4">
        <w:t xml:space="preserve">37. The gallery seems a rather awkward addition, but was presumably for use of </w:t>
      </w:r>
      <w:r w:rsidR="00C92C6F">
        <w:t>the prebend</w:t>
      </w:r>
      <w:r w:rsidR="00B93BAE">
        <w:t>ary</w:t>
      </w:r>
      <w:r w:rsidR="00C92C6F">
        <w:t xml:space="preserve">, and his immediate retinue. Private galleries within manorial chapels were introduced in the </w:t>
      </w:r>
      <w:r w:rsidR="003C55FC">
        <w:t>13</w:t>
      </w:r>
      <w:r w:rsidR="00C92C6F">
        <w:t xml:space="preserve">th century </w:t>
      </w:r>
      <w:r w:rsidR="00C92C6F">
        <w:lastRenderedPageBreak/>
        <w:t>and became very popular in the later medieval period.</w:t>
      </w:r>
      <w:r w:rsidR="00C92C6F">
        <w:rPr>
          <w:rStyle w:val="FootnoteReference"/>
        </w:rPr>
        <w:footnoteReference w:id="61"/>
      </w:r>
      <w:r w:rsidR="00C92C6F">
        <w:t xml:space="preserve"> Such galleries were, how</w:t>
      </w:r>
      <w:r w:rsidR="00B93BAE">
        <w:t>ever, normally entered at first-</w:t>
      </w:r>
      <w:r w:rsidR="00C92C6F">
        <w:t xml:space="preserve">floor level from the private apartments. The staircase, with its unusual external doorway, indicates that Horton’s chapel was still a separate, free-standing block. </w:t>
      </w:r>
    </w:p>
    <w:p w14:paraId="5E8C7852" w14:textId="33DD9FCE" w:rsidR="00BC60D4" w:rsidRDefault="00C92C6F" w:rsidP="00765FB1">
      <w:pPr>
        <w:spacing w:line="360" w:lineRule="auto"/>
        <w:ind w:firstLine="720"/>
      </w:pPr>
      <w:r>
        <w:t>The roof structure was</w:t>
      </w:r>
      <w:r w:rsidR="00454D75">
        <w:t xml:space="preserve"> </w:t>
      </w:r>
      <w:r w:rsidR="00643FC3">
        <w:t xml:space="preserve">replaced </w:t>
      </w:r>
      <w:r w:rsidR="00601F8D">
        <w:t>in</w:t>
      </w:r>
      <w:r w:rsidR="00643FC3">
        <w:t xml:space="preserve"> the early </w:t>
      </w:r>
      <w:r w:rsidR="00454D75">
        <w:t>to mid-</w:t>
      </w:r>
      <w:r w:rsidR="00A85CBB">
        <w:t>15th</w:t>
      </w:r>
      <w:r w:rsidR="00643FC3">
        <w:t xml:space="preserve"> century</w:t>
      </w:r>
      <w:r>
        <w:t xml:space="preserve">. </w:t>
      </w:r>
      <w:r w:rsidR="00206194">
        <w:t>It has common rafters with long, tenoned arch-braces rising to a collar. The collar purlin is tenoned into two principal rafter trusses, with applied roll-mouldings to its soffit.</w:t>
      </w:r>
      <w:r w:rsidR="00206194">
        <w:rPr>
          <w:rStyle w:val="FootnoteReference"/>
        </w:rPr>
        <w:footnoteReference w:id="62"/>
      </w:r>
      <w:r w:rsidR="00206194">
        <w:t xml:space="preserve"> The collars are stop-chamfered around the collar purlin, indicating that the whole assembly, though somewhat altered, is original. The structure </w:t>
      </w:r>
      <w:r w:rsidR="005F6A6D">
        <w:t>is very similar to the roofs of the nave and north aisle of the church, which was rebuilt in fully-developed Perp</w:t>
      </w:r>
      <w:r w:rsidR="00206194">
        <w:t>endicular style in this pe</w:t>
      </w:r>
      <w:r w:rsidR="00454D75">
        <w:t xml:space="preserve">riod, pointing towards a </w:t>
      </w:r>
      <w:r w:rsidR="00206194">
        <w:t xml:space="preserve">date after 1400. </w:t>
      </w:r>
    </w:p>
    <w:p w14:paraId="0F4E20BD" w14:textId="26B0F355" w:rsidR="002028B5" w:rsidRDefault="00643FC3" w:rsidP="00765FB1">
      <w:pPr>
        <w:spacing w:line="360" w:lineRule="auto"/>
        <w:ind w:firstLine="720"/>
      </w:pPr>
      <w:r>
        <w:t>At some stage in the later medieval period, the chapel was converted for use as an o</w:t>
      </w:r>
      <w:r w:rsidR="000E7E6C">
        <w:t xml:space="preserve">pen hall, as indicated by </w:t>
      </w:r>
      <w:r>
        <w:t xml:space="preserve">heavy soot deposits on </w:t>
      </w:r>
      <w:r w:rsidR="00454D75">
        <w:t xml:space="preserve">some of </w:t>
      </w:r>
      <w:r>
        <w:t>the roof timbers.</w:t>
      </w:r>
      <w:r w:rsidR="000E7E6C">
        <w:rPr>
          <w:rStyle w:val="FootnoteReference"/>
        </w:rPr>
        <w:footnoteReference w:id="63"/>
      </w:r>
      <w:r w:rsidR="000E7E6C">
        <w:t xml:space="preserve"> </w:t>
      </w:r>
      <w:r w:rsidR="00454D75">
        <w:t>The original chancel at the east end of the chapel was probably demolished as part of this conversion, and a new east gable built</w:t>
      </w:r>
      <w:r w:rsidR="000004D6">
        <w:t xml:space="preserve"> (</w:t>
      </w:r>
      <w:r w:rsidR="000004D6" w:rsidRPr="002A1343">
        <w:t xml:space="preserve">Fig. </w:t>
      </w:r>
      <w:r w:rsidR="002A1343" w:rsidRPr="002A1343">
        <w:t>12</w:t>
      </w:r>
      <w:r w:rsidR="000004D6" w:rsidRPr="002A1343">
        <w:t>C)</w:t>
      </w:r>
      <w:r w:rsidR="00454D75" w:rsidRPr="002A1343">
        <w:t>.</w:t>
      </w:r>
      <w:r w:rsidR="00454D75">
        <w:t xml:space="preserve"> </w:t>
      </w:r>
      <w:r w:rsidR="0026420E">
        <w:t xml:space="preserve">The Harcourts have suggested that an open hall in the south range (‘Hall 2’) was altered to form a two-storey building in the late </w:t>
      </w:r>
      <w:r w:rsidR="00A85CBB">
        <w:t>15th</w:t>
      </w:r>
      <w:r w:rsidR="0026420E">
        <w:t xml:space="preserve"> century, probably around the same time as the two-storeyed west range was added in </w:t>
      </w:r>
      <w:r w:rsidR="0026420E" w:rsidRPr="0026420E">
        <w:rPr>
          <w:i/>
        </w:rPr>
        <w:t>c</w:t>
      </w:r>
      <w:r w:rsidR="0026420E">
        <w:t>.</w:t>
      </w:r>
      <w:r w:rsidR="0026420E" w:rsidRPr="0026420E">
        <w:t>1492</w:t>
      </w:r>
      <w:r w:rsidR="0026420E">
        <w:t>. Although open halls were beginning to be superseded by this time, it seems likely that this proved the spur for the conversion of the chapel to a hall. Like the chapel, however, the new open hall was not fully connected to the main house, and remained somewhat peripheral, suggesting occasional rather than daily use.</w:t>
      </w:r>
      <w:r w:rsidR="00E538DC">
        <w:t xml:space="preserve"> The gallery, though awkwardly arranged, might have continued in use to serve the hall. </w:t>
      </w:r>
      <w:r w:rsidR="00E40AF5">
        <w:t>The alterations of 15</w:t>
      </w:r>
      <w:r w:rsidR="00601F8D">
        <w:t>19–</w:t>
      </w:r>
      <w:r w:rsidR="00E40AF5">
        <w:t>21 by William Knight at last saw the hall conne</w:t>
      </w:r>
      <w:r w:rsidR="002028B5">
        <w:t>cted to the main house</w:t>
      </w:r>
      <w:r w:rsidR="000004D6">
        <w:t xml:space="preserve"> </w:t>
      </w:r>
      <w:r w:rsidR="000004D6" w:rsidRPr="002A1343">
        <w:t>(Fig</w:t>
      </w:r>
      <w:r w:rsidR="002A1343">
        <w:t>s</w:t>
      </w:r>
      <w:r w:rsidR="000004D6" w:rsidRPr="002A1343">
        <w:t xml:space="preserve"> </w:t>
      </w:r>
      <w:r w:rsidR="002A1343">
        <w:t>12</w:t>
      </w:r>
      <w:r w:rsidR="000004D6" w:rsidRPr="002A1343">
        <w:t>D</w:t>
      </w:r>
      <w:r w:rsidR="002A1343">
        <w:t>, 15</w:t>
      </w:r>
      <w:r w:rsidR="000004D6" w:rsidRPr="002A1343">
        <w:t>)</w:t>
      </w:r>
      <w:r w:rsidR="002028B5" w:rsidRPr="002A1343">
        <w:t>.</w:t>
      </w:r>
      <w:r w:rsidR="002028B5">
        <w:t xml:space="preserve"> </w:t>
      </w:r>
      <w:r w:rsidR="00E40AF5">
        <w:t xml:space="preserve">Knight’s </w:t>
      </w:r>
      <w:r w:rsidR="002028B5">
        <w:t>work to the rest of the house was extensive and included Renaissance decoration of very advanced design for its date, so it seems the open hall was deliberately kept untouched, perhaps</w:t>
      </w:r>
      <w:r w:rsidR="00CD74D7">
        <w:t xml:space="preserve"> already recogni</w:t>
      </w:r>
      <w:r w:rsidR="00765FB1">
        <w:t>z</w:t>
      </w:r>
      <w:r w:rsidR="00CD74D7">
        <w:t>ing its antique</w:t>
      </w:r>
      <w:r w:rsidR="002028B5">
        <w:t xml:space="preserve"> character. </w:t>
      </w:r>
    </w:p>
    <w:p w14:paraId="24B9FD06" w14:textId="5182B45C" w:rsidR="002028B5" w:rsidRDefault="002028B5" w:rsidP="008E7CFA">
      <w:pPr>
        <w:spacing w:line="360" w:lineRule="auto"/>
      </w:pPr>
    </w:p>
    <w:p w14:paraId="1E4DFB93" w14:textId="2009B5CF" w:rsidR="007C08F1" w:rsidRDefault="007C08F1" w:rsidP="008E7CFA">
      <w:pPr>
        <w:spacing w:line="360" w:lineRule="auto"/>
      </w:pPr>
      <w:r>
        <w:t>DEVELOPMENT AFTER 1547</w:t>
      </w:r>
    </w:p>
    <w:p w14:paraId="64ABBC2F" w14:textId="2B5F42BF" w:rsidR="007C08F1" w:rsidRDefault="007C08F1" w:rsidP="008E7CFA">
      <w:pPr>
        <w:spacing w:line="360" w:lineRule="auto"/>
      </w:pPr>
    </w:p>
    <w:p w14:paraId="5DB65AAA" w14:textId="27D0D9CE" w:rsidR="009C3BF7" w:rsidRDefault="007C08F1" w:rsidP="008E7CFA">
      <w:pPr>
        <w:pStyle w:val="HTMLAddress"/>
        <w:spacing w:line="360" w:lineRule="auto"/>
        <w:rPr>
          <w:szCs w:val="24"/>
          <w:lang w:eastAsia="ja-JP"/>
        </w:rPr>
      </w:pPr>
      <w:r w:rsidRPr="00F46CBF">
        <w:rPr>
          <w:szCs w:val="24"/>
          <w:lang w:eastAsia="ja-JP"/>
        </w:rPr>
        <w:t xml:space="preserve">In 1547 the </w:t>
      </w:r>
      <w:proofErr w:type="spellStart"/>
      <w:r w:rsidRPr="00F46CBF">
        <w:rPr>
          <w:szCs w:val="24"/>
          <w:lang w:eastAsia="ja-JP"/>
        </w:rPr>
        <w:t>prebend</w:t>
      </w:r>
      <w:proofErr w:type="spellEnd"/>
      <w:r w:rsidRPr="00F46CBF">
        <w:rPr>
          <w:szCs w:val="24"/>
          <w:lang w:eastAsia="ja-JP"/>
        </w:rPr>
        <w:t xml:space="preserve"> was dissolved and granted to Edward, duke of Somers</w:t>
      </w:r>
      <w:r>
        <w:rPr>
          <w:szCs w:val="24"/>
          <w:lang w:eastAsia="ja-JP"/>
        </w:rPr>
        <w:t xml:space="preserve">et and, on his forfeiture, </w:t>
      </w:r>
      <w:r w:rsidRPr="00F46CBF">
        <w:rPr>
          <w:szCs w:val="24"/>
          <w:lang w:eastAsia="ja-JP"/>
        </w:rPr>
        <w:t xml:space="preserve">given to Clement </w:t>
      </w:r>
      <w:proofErr w:type="spellStart"/>
      <w:r w:rsidRPr="00F46CBF">
        <w:rPr>
          <w:szCs w:val="24"/>
          <w:lang w:eastAsia="ja-JP"/>
        </w:rPr>
        <w:t>Paston</w:t>
      </w:r>
      <w:proofErr w:type="spellEnd"/>
      <w:r w:rsidRPr="00F46CBF">
        <w:rPr>
          <w:szCs w:val="24"/>
          <w:lang w:eastAsia="ja-JP"/>
        </w:rPr>
        <w:t>.</w:t>
      </w:r>
      <w:r w:rsidRPr="00F46CBF">
        <w:rPr>
          <w:rStyle w:val="FootnoteReference"/>
          <w:szCs w:val="24"/>
          <w:lang w:eastAsia="ja-JP"/>
        </w:rPr>
        <w:footnoteReference w:id="64"/>
      </w:r>
      <w:r>
        <w:rPr>
          <w:szCs w:val="24"/>
          <w:lang w:eastAsia="ja-JP"/>
        </w:rPr>
        <w:t xml:space="preserve"> The estate was briefly reclaimed in 1553 by David Broke, the last prebendary, but regranted to </w:t>
      </w:r>
      <w:proofErr w:type="spellStart"/>
      <w:r>
        <w:rPr>
          <w:szCs w:val="24"/>
          <w:lang w:eastAsia="ja-JP"/>
        </w:rPr>
        <w:t>Paston</w:t>
      </w:r>
      <w:proofErr w:type="spellEnd"/>
      <w:r>
        <w:rPr>
          <w:szCs w:val="24"/>
          <w:lang w:eastAsia="ja-JP"/>
        </w:rPr>
        <w:t xml:space="preserve"> after </w:t>
      </w:r>
      <w:proofErr w:type="spellStart"/>
      <w:r>
        <w:rPr>
          <w:szCs w:val="24"/>
          <w:lang w:eastAsia="ja-JP"/>
        </w:rPr>
        <w:t>Broke’s</w:t>
      </w:r>
      <w:proofErr w:type="spellEnd"/>
      <w:r>
        <w:rPr>
          <w:szCs w:val="24"/>
          <w:lang w:eastAsia="ja-JP"/>
        </w:rPr>
        <w:t xml:space="preserve"> death the following year. The subsequent history has been discussed by Langston and by </w:t>
      </w:r>
      <w:proofErr w:type="spellStart"/>
      <w:r>
        <w:rPr>
          <w:szCs w:val="24"/>
          <w:lang w:eastAsia="ja-JP"/>
        </w:rPr>
        <w:t>Fendley</w:t>
      </w:r>
      <w:proofErr w:type="spellEnd"/>
      <w:r>
        <w:rPr>
          <w:szCs w:val="24"/>
          <w:lang w:eastAsia="ja-JP"/>
        </w:rPr>
        <w:t xml:space="preserve">, and may be briefly summarized. On </w:t>
      </w:r>
      <w:proofErr w:type="spellStart"/>
      <w:r>
        <w:rPr>
          <w:szCs w:val="24"/>
          <w:lang w:eastAsia="ja-JP"/>
        </w:rPr>
        <w:t>Clement’s</w:t>
      </w:r>
      <w:proofErr w:type="spellEnd"/>
      <w:r>
        <w:rPr>
          <w:szCs w:val="24"/>
          <w:lang w:eastAsia="ja-JP"/>
        </w:rPr>
        <w:t xml:space="preserve"> death in 1598, Horton was bequeathed</w:t>
      </w:r>
      <w:r w:rsidRPr="00B35F5C">
        <w:t xml:space="preserve"> to </w:t>
      </w:r>
      <w:r>
        <w:rPr>
          <w:szCs w:val="24"/>
          <w:lang w:eastAsia="ja-JP"/>
        </w:rPr>
        <w:t xml:space="preserve">his nephew, Edward </w:t>
      </w:r>
      <w:proofErr w:type="spellStart"/>
      <w:r>
        <w:rPr>
          <w:szCs w:val="24"/>
          <w:lang w:eastAsia="ja-JP"/>
        </w:rPr>
        <w:t>Paston</w:t>
      </w:r>
      <w:proofErr w:type="spellEnd"/>
      <w:r>
        <w:rPr>
          <w:szCs w:val="24"/>
          <w:lang w:eastAsia="ja-JP"/>
        </w:rPr>
        <w:t>, a recusant, who subsequently leased out the house. In 1643 the house and</w:t>
      </w:r>
      <w:r w:rsidR="009C3BF7">
        <w:rPr>
          <w:szCs w:val="24"/>
          <w:lang w:eastAsia="ja-JP"/>
        </w:rPr>
        <w:t xml:space="preserve"> living were sequestered on account of the </w:t>
      </w:r>
      <w:proofErr w:type="spellStart"/>
      <w:r w:rsidR="009C3BF7">
        <w:rPr>
          <w:szCs w:val="24"/>
          <w:lang w:eastAsia="ja-JP"/>
        </w:rPr>
        <w:t>Paston’s</w:t>
      </w:r>
      <w:proofErr w:type="spellEnd"/>
      <w:r w:rsidR="009C3BF7">
        <w:rPr>
          <w:szCs w:val="24"/>
          <w:lang w:eastAsia="ja-JP"/>
        </w:rPr>
        <w:t xml:space="preserve"> religion and the house continued to be leased. The </w:t>
      </w:r>
      <w:proofErr w:type="spellStart"/>
      <w:r w:rsidR="009C3BF7">
        <w:rPr>
          <w:szCs w:val="24"/>
          <w:lang w:eastAsia="ja-JP"/>
        </w:rPr>
        <w:t>Pastons</w:t>
      </w:r>
      <w:proofErr w:type="spellEnd"/>
      <w:r w:rsidR="009C3BF7">
        <w:rPr>
          <w:szCs w:val="24"/>
          <w:lang w:eastAsia="ja-JP"/>
        </w:rPr>
        <w:t xml:space="preserve"> appear to have resumed residency at Horton by 1705 and this broadly coincides with the insertion of a floor to allow the formation of a Catholic chapel on the first floor of the Norman Hall</w:t>
      </w:r>
      <w:r w:rsidR="00E201E8">
        <w:rPr>
          <w:szCs w:val="24"/>
          <w:lang w:eastAsia="ja-JP"/>
        </w:rPr>
        <w:t>, perhaps</w:t>
      </w:r>
      <w:r w:rsidR="009C3BF7">
        <w:rPr>
          <w:szCs w:val="24"/>
          <w:lang w:eastAsia="ja-JP"/>
        </w:rPr>
        <w:t xml:space="preserve"> in 1708</w:t>
      </w:r>
      <w:r w:rsidR="000004D6">
        <w:rPr>
          <w:szCs w:val="24"/>
          <w:lang w:eastAsia="ja-JP"/>
        </w:rPr>
        <w:t xml:space="preserve"> (</w:t>
      </w:r>
      <w:r w:rsidR="000004D6" w:rsidRPr="002A1343">
        <w:rPr>
          <w:szCs w:val="24"/>
          <w:lang w:eastAsia="ja-JP"/>
        </w:rPr>
        <w:t xml:space="preserve">Fig. </w:t>
      </w:r>
      <w:r w:rsidR="002A1343" w:rsidRPr="002A1343">
        <w:rPr>
          <w:szCs w:val="24"/>
          <w:lang w:eastAsia="ja-JP"/>
        </w:rPr>
        <w:t>12</w:t>
      </w:r>
      <w:r w:rsidR="000004D6" w:rsidRPr="002A1343">
        <w:rPr>
          <w:szCs w:val="24"/>
          <w:lang w:eastAsia="ja-JP"/>
        </w:rPr>
        <w:t>D</w:t>
      </w:r>
      <w:r w:rsidR="000004D6">
        <w:rPr>
          <w:szCs w:val="24"/>
          <w:lang w:eastAsia="ja-JP"/>
        </w:rPr>
        <w:t>)</w:t>
      </w:r>
      <w:r w:rsidR="009C3BF7">
        <w:rPr>
          <w:szCs w:val="24"/>
          <w:lang w:eastAsia="ja-JP"/>
        </w:rPr>
        <w:t>.</w:t>
      </w:r>
      <w:r w:rsidR="009C3BF7">
        <w:rPr>
          <w:rStyle w:val="FootnoteReference"/>
          <w:szCs w:val="24"/>
          <w:lang w:eastAsia="ja-JP"/>
        </w:rPr>
        <w:footnoteReference w:id="65"/>
      </w:r>
      <w:r w:rsidR="009C3BF7">
        <w:rPr>
          <w:szCs w:val="24"/>
          <w:lang w:eastAsia="ja-JP"/>
        </w:rPr>
        <w:t xml:space="preserve"> </w:t>
      </w:r>
    </w:p>
    <w:p w14:paraId="31298C1A" w14:textId="77777777" w:rsidR="0017032E" w:rsidRDefault="0017032E" w:rsidP="00765FB1">
      <w:pPr>
        <w:spacing w:line="360" w:lineRule="auto"/>
        <w:ind w:firstLine="720"/>
      </w:pPr>
      <w:r>
        <w:t>At this time t</w:t>
      </w:r>
      <w:r w:rsidR="00C3025F">
        <w:t>he two Norman windows in the north wall were blocked up (as shown by Buckler), and the chapel was lit principally by the west window, with its ‘beautiful tracery’.</w:t>
      </w:r>
      <w:r w:rsidR="000161C8">
        <w:rPr>
          <w:rStyle w:val="FootnoteReference"/>
        </w:rPr>
        <w:footnoteReference w:id="66"/>
      </w:r>
      <w:r w:rsidR="00C3025F">
        <w:t xml:space="preserve"> A doorway was inserted on the first floor, described by Hodges as a priest’s door, leading </w:t>
      </w:r>
      <w:r w:rsidR="000161C8">
        <w:t>past the altar at the east end</w:t>
      </w:r>
      <w:r w:rsidR="00C3025F">
        <w:t xml:space="preserve"> into a tiny room, </w:t>
      </w:r>
      <w:r w:rsidR="00E201E8">
        <w:t>perhaps serving as a sacristy and confessional</w:t>
      </w:r>
      <w:r>
        <w:t>,</w:t>
      </w:r>
      <w:r w:rsidR="00E201E8">
        <w:t xml:space="preserve"> </w:t>
      </w:r>
      <w:r w:rsidR="00C3025F">
        <w:t>then into a passage connecting to the house.</w:t>
      </w:r>
      <w:r w:rsidR="00C3025F">
        <w:rPr>
          <w:rStyle w:val="FootnoteReference"/>
        </w:rPr>
        <w:footnoteReference w:id="67"/>
      </w:r>
      <w:r w:rsidR="00C3025F">
        <w:t xml:space="preserve"> </w:t>
      </w:r>
      <w:r w:rsidR="00462AED">
        <w:t xml:space="preserve">The main access to the chapel must have been the vice stair at the west end. </w:t>
      </w:r>
    </w:p>
    <w:p w14:paraId="24325984" w14:textId="5C68D300" w:rsidR="002028B5" w:rsidRDefault="00E201E8" w:rsidP="00765FB1">
      <w:pPr>
        <w:spacing w:line="360" w:lineRule="auto"/>
        <w:ind w:firstLine="720"/>
      </w:pPr>
      <w:r>
        <w:rPr>
          <w:szCs w:val="24"/>
          <w:lang w:eastAsia="ja-JP"/>
        </w:rPr>
        <w:t>The manor was sold in 1782 to Thomas Brooke, who had served as steward for Horton.</w:t>
      </w:r>
      <w:r w:rsidRPr="00E201E8">
        <w:t xml:space="preserve"> </w:t>
      </w:r>
      <w:r>
        <w:t>There ceased to be a resident chaplain, but its use as a chapel persisted</w:t>
      </w:r>
      <w:r w:rsidR="0017032E">
        <w:t>,</w:t>
      </w:r>
      <w:r>
        <w:t xml:space="preserve"> being served by visiting priests.</w:t>
      </w:r>
      <w:r>
        <w:rPr>
          <w:rStyle w:val="FootnoteReference"/>
          <w:szCs w:val="24"/>
          <w:lang w:eastAsia="ja-JP"/>
        </w:rPr>
        <w:footnoteReference w:id="68"/>
      </w:r>
      <w:r>
        <w:t xml:space="preserve"> </w:t>
      </w:r>
      <w:r w:rsidR="00462AED">
        <w:t>The Norman Hall seems to have been largely s</w:t>
      </w:r>
      <w:r w:rsidR="006E7BB1">
        <w:t>hut up and neglected</w:t>
      </w:r>
      <w:r w:rsidR="00E31CCA">
        <w:t xml:space="preserve"> by the early nineteenth century</w:t>
      </w:r>
      <w:r w:rsidR="0017032E">
        <w:t xml:space="preserve">, </w:t>
      </w:r>
      <w:r w:rsidR="006E7BB1">
        <w:t>as witness</w:t>
      </w:r>
      <w:r w:rsidR="00462AED">
        <w:t>ed by a visiting Catholic priest in 1833.</w:t>
      </w:r>
      <w:r w:rsidR="00462AED">
        <w:rPr>
          <w:rStyle w:val="FootnoteReference"/>
        </w:rPr>
        <w:footnoteReference w:id="69"/>
      </w:r>
      <w:r w:rsidR="00462AED">
        <w:t xml:space="preserve"> There may, however, have been some use </w:t>
      </w:r>
      <w:r w:rsidR="000204B9">
        <w:t xml:space="preserve">of the first floor </w:t>
      </w:r>
      <w:r w:rsidR="00462AED">
        <w:t>for storage, as a</w:t>
      </w:r>
      <w:r w:rsidR="000204B9">
        <w:t xml:space="preserve"> loading hatch (now blocked) was inserted rather crudely over the front door. In 1849, the first floor</w:t>
      </w:r>
      <w:r w:rsidR="0017032E">
        <w:t xml:space="preserve"> was converted to a schoolroom, a function it served until </w:t>
      </w:r>
      <w:r w:rsidR="0017032E">
        <w:lastRenderedPageBreak/>
        <w:t>1860</w:t>
      </w:r>
      <w:r w:rsidR="000004D6">
        <w:t xml:space="preserve"> (</w:t>
      </w:r>
      <w:r w:rsidR="000004D6" w:rsidRPr="002A1343">
        <w:t xml:space="preserve">Fig. </w:t>
      </w:r>
      <w:r w:rsidR="002A1343" w:rsidRPr="002A1343">
        <w:t>12</w:t>
      </w:r>
      <w:r w:rsidR="000004D6" w:rsidRPr="002A1343">
        <w:t>E</w:t>
      </w:r>
      <w:r w:rsidR="000004D6">
        <w:t>)</w:t>
      </w:r>
      <w:r w:rsidR="0017032E">
        <w:t xml:space="preserve">. </w:t>
      </w:r>
      <w:r w:rsidR="000204B9">
        <w:t xml:space="preserve">The west window was replaced by a doorway, giving access up wooden stairs from the churchyard. </w:t>
      </w:r>
      <w:r w:rsidR="00D42D25">
        <w:t xml:space="preserve">The vice stair was removed, which involved the rebuilding of the upper south-west corner and truncation of the attached shaft. </w:t>
      </w:r>
      <w:r w:rsidR="000204B9">
        <w:t xml:space="preserve">The ground floor was altered to form a churchwardens’ room, lit by windows in the south wall, with a fireplace inserted against the east gable. </w:t>
      </w:r>
      <w:r w:rsidR="00D42D25">
        <w:t xml:space="preserve">In 1884, the building was restored by the distinguished architect F. C. Penrose for the new owner, Admiral Frederick Richards. On the first floor, the Norman windows were unblocked, new stone windows were inserted to the south and west, and the medieval roof was revealed. The ground floor became a butler’s pantry, with new stone windows to the south wall. </w:t>
      </w:r>
      <w:r w:rsidR="006E7BB1">
        <w:t>Finally,</w:t>
      </w:r>
      <w:r w:rsidR="00ED59E7">
        <w:t xml:space="preserve"> in 1920–</w:t>
      </w:r>
      <w:r w:rsidR="006E7BB1">
        <w:t xml:space="preserve">24, the first floor was removed and </w:t>
      </w:r>
      <w:r w:rsidR="00D64863">
        <w:t xml:space="preserve">the </w:t>
      </w:r>
      <w:r w:rsidR="001F5B17">
        <w:t xml:space="preserve">building took on once again the guise of an open hall, albeit with a massive, imported </w:t>
      </w:r>
      <w:r w:rsidR="00D64863">
        <w:t xml:space="preserve">fireplace </w:t>
      </w:r>
      <w:r w:rsidR="001F5B17">
        <w:t xml:space="preserve">at one end. </w:t>
      </w:r>
      <w:r w:rsidR="00D64863">
        <w:t xml:space="preserve"> T</w:t>
      </w:r>
      <w:r w:rsidR="00FB70B6">
        <w:t>he</w:t>
      </w:r>
      <w:r w:rsidR="00D64863">
        <w:t xml:space="preserve"> Norman Hall </w:t>
      </w:r>
      <w:r w:rsidR="000161C8">
        <w:t xml:space="preserve">had </w:t>
      </w:r>
      <w:r w:rsidR="006E7A4B">
        <w:t>beco</w:t>
      </w:r>
      <w:r w:rsidR="00D64863">
        <w:t>me once again a single, full-he</w:t>
      </w:r>
      <w:r w:rsidR="006E7A4B">
        <w:t xml:space="preserve">ight space, though its original use as a chapel was now forgotten. </w:t>
      </w:r>
    </w:p>
    <w:p w14:paraId="2ECD3935" w14:textId="1AA9D9F2" w:rsidR="00E201E8" w:rsidRDefault="00E201E8" w:rsidP="008E7CFA">
      <w:pPr>
        <w:spacing w:line="360" w:lineRule="auto"/>
      </w:pPr>
    </w:p>
    <w:p w14:paraId="51A082C2" w14:textId="77777777" w:rsidR="00E201E8" w:rsidRDefault="00E201E8" w:rsidP="008E7CFA">
      <w:pPr>
        <w:spacing w:line="360" w:lineRule="auto"/>
      </w:pPr>
    </w:p>
    <w:p w14:paraId="382F4908" w14:textId="589387CA" w:rsidR="000A7C03" w:rsidRDefault="000A7C03" w:rsidP="008E7CFA">
      <w:pPr>
        <w:spacing w:line="360" w:lineRule="auto"/>
      </w:pPr>
      <w:r>
        <w:t>CONCLUSIONS</w:t>
      </w:r>
    </w:p>
    <w:p w14:paraId="09119426" w14:textId="0E14FB1A" w:rsidR="000A7C03" w:rsidRDefault="000A7C03" w:rsidP="008E7CFA">
      <w:pPr>
        <w:spacing w:line="360" w:lineRule="auto"/>
      </w:pPr>
    </w:p>
    <w:p w14:paraId="55F1D628" w14:textId="7253AA75" w:rsidR="00ED59E7" w:rsidRDefault="00ED59E7" w:rsidP="008E7CFA">
      <w:pPr>
        <w:spacing w:line="360" w:lineRule="auto"/>
      </w:pPr>
      <w:r>
        <w:t xml:space="preserve">It has been argued here that the ‘Norman Hall’ was constructed in the late </w:t>
      </w:r>
      <w:r w:rsidR="00A85CBB">
        <w:t>12th</w:t>
      </w:r>
      <w:r>
        <w:t xml:space="preserve"> century as a </w:t>
      </w:r>
      <w:r w:rsidR="00B93BAE">
        <w:t xml:space="preserve">manorial </w:t>
      </w:r>
      <w:r>
        <w:t>chapel adjoining the parish church.</w:t>
      </w:r>
      <w:r w:rsidR="00B93BAE">
        <w:t xml:space="preserve"> The </w:t>
      </w:r>
      <w:r>
        <w:t xml:space="preserve">manor house </w:t>
      </w:r>
      <w:r w:rsidR="00B93BAE">
        <w:t>itself was</w:t>
      </w:r>
      <w:r>
        <w:t xml:space="preserve"> presumably </w:t>
      </w:r>
      <w:r w:rsidR="00B93BAE">
        <w:t>located on the</w:t>
      </w:r>
      <w:r>
        <w:t xml:space="preserve"> site </w:t>
      </w:r>
      <w:r w:rsidR="00B93BAE">
        <w:t xml:space="preserve">later occupied by </w:t>
      </w:r>
      <w:r>
        <w:t xml:space="preserve">the </w:t>
      </w:r>
      <w:r w:rsidR="00A85CBB">
        <w:t>14th</w:t>
      </w:r>
      <w:r w:rsidR="00B93BAE">
        <w:t xml:space="preserve">- or early </w:t>
      </w:r>
      <w:r w:rsidR="00A85CBB">
        <w:t>15th</w:t>
      </w:r>
      <w:r w:rsidR="00B93BAE">
        <w:t xml:space="preserve">-century building. During the course of the </w:t>
      </w:r>
      <w:r w:rsidR="00A85CBB">
        <w:t>14th</w:t>
      </w:r>
      <w:r w:rsidR="00B93BAE">
        <w:t xml:space="preserve"> or early </w:t>
      </w:r>
      <w:r w:rsidR="00801120">
        <w:t xml:space="preserve">15th </w:t>
      </w:r>
      <w:r w:rsidR="00B93BAE">
        <w:t>century a gallery was inserted at the west end of the chapel which was reached through a rather narrow doorway and up tight stairs. A</w:t>
      </w:r>
      <w:r w:rsidR="00420E18">
        <w:t>n</w:t>
      </w:r>
      <w:r w:rsidR="00B93BAE">
        <w:t xml:space="preserve"> inscription or possibly a mural text was added to the interior of the chapel taking its text from the Sarum Customary. Buttresses were added on the south side and a new roof</w:t>
      </w:r>
      <w:r w:rsidR="00FD79A3">
        <w:t xml:space="preserve"> constructed, works which might have taken place during the epi</w:t>
      </w:r>
      <w:r w:rsidR="00801120">
        <w:t xml:space="preserve">scopate of Robert Neville (1427–37). It was presumably at some point after this that </w:t>
      </w:r>
      <w:r w:rsidR="00FD79A3">
        <w:t xml:space="preserve">the </w:t>
      </w:r>
      <w:r w:rsidR="00801120">
        <w:t>chapel was converted</w:t>
      </w:r>
      <w:r w:rsidR="00FD79A3">
        <w:t xml:space="preserve"> to an open hall. However, a hall in this position must have always been secondary to the main hall in the manor house. It may have been connected with the farm (</w:t>
      </w:r>
      <w:r w:rsidR="00801120">
        <w:t xml:space="preserve">or </w:t>
      </w:r>
      <w:r w:rsidR="00FD79A3">
        <w:t>lease) of the manor and used either by the farmer (</w:t>
      </w:r>
      <w:proofErr w:type="spellStart"/>
      <w:r w:rsidR="00FD79A3">
        <w:t>lease</w:t>
      </w:r>
      <w:r w:rsidR="00801120">
        <w:t>e</w:t>
      </w:r>
      <w:proofErr w:type="spellEnd"/>
      <w:r w:rsidR="00FD79A3">
        <w:t xml:space="preserve">) or, perhaps more likely given the quality of the roof and the arms attached to the wall, by the prebendary </w:t>
      </w:r>
      <w:r w:rsidR="00420E18">
        <w:t xml:space="preserve">on the occasional visit </w:t>
      </w:r>
      <w:r w:rsidR="00FD79A3">
        <w:t>to his estate. It</w:t>
      </w:r>
      <w:r w:rsidR="00801120">
        <w:t>s</w:t>
      </w:r>
      <w:r w:rsidR="00FD79A3">
        <w:t xml:space="preserve"> later use as a Roman Catholic chapel, storage building and school house justified its continuing maintenance until it began to attract antiquarian interest</w:t>
      </w:r>
      <w:r w:rsidR="00801120">
        <w:t xml:space="preserve"> in the mid-19th century</w:t>
      </w:r>
      <w:r w:rsidR="00FD79A3">
        <w:t>.</w:t>
      </w:r>
    </w:p>
    <w:p w14:paraId="2E883B57" w14:textId="1DF65381" w:rsidR="000A7C03" w:rsidRDefault="00673BAF" w:rsidP="002A1343">
      <w:pPr>
        <w:spacing w:line="360" w:lineRule="auto"/>
        <w:ind w:firstLine="720"/>
      </w:pPr>
      <w:r>
        <w:lastRenderedPageBreak/>
        <w:t>This</w:t>
      </w:r>
      <w:r w:rsidR="000A7C03">
        <w:t xml:space="preserve"> study of the Norman Hall </w:t>
      </w:r>
      <w:r>
        <w:t>began by seeking</w:t>
      </w:r>
      <w:r w:rsidR="000A7C03">
        <w:t xml:space="preserve"> to place it within our understanding of late Romanesque domestic buildings. The identification of it as a chapel has removed it from that context and has helped to clarify</w:t>
      </w:r>
      <w:r w:rsidR="003C1DEC">
        <w:t xml:space="preserve"> our understanding of the form of houses in the late </w:t>
      </w:r>
      <w:r w:rsidR="00A85CBB">
        <w:t>12th</w:t>
      </w:r>
      <w:r w:rsidR="003C1DEC">
        <w:t xml:space="preserve"> century. We have argued elsewhere that the late medieval domestic plan, which comprised services, hall and chamber, was present certainly before 1200 and</w:t>
      </w:r>
      <w:r w:rsidR="004E1DF1">
        <w:t>,</w:t>
      </w:r>
      <w:r w:rsidR="003C1DEC">
        <w:t xml:space="preserve"> in </w:t>
      </w:r>
      <w:r w:rsidR="00B7604E">
        <w:t>part</w:t>
      </w:r>
      <w:r w:rsidR="004E1DF1">
        <w:t>,</w:t>
      </w:r>
      <w:r w:rsidR="003C1DEC">
        <w:t xml:space="preserve"> a century earlier.</w:t>
      </w:r>
      <w:r w:rsidR="006619B6">
        <w:rPr>
          <w:rStyle w:val="FootnoteReference"/>
        </w:rPr>
        <w:footnoteReference w:id="70"/>
      </w:r>
      <w:r w:rsidR="003C1DEC">
        <w:t xml:space="preserve"> The integration of the services – the buttery and pantry – into the hall block </w:t>
      </w:r>
      <w:r w:rsidR="00FE4983">
        <w:t xml:space="preserve">appears to have taken place by the late </w:t>
      </w:r>
      <w:r w:rsidR="00A85CBB">
        <w:t>12th</w:t>
      </w:r>
      <w:r w:rsidR="00FE4983">
        <w:t xml:space="preserve"> century, at for example Oakham Castle and Clarendon Palace, as well as in the modifications at Scolland’s Hall in Richmond Castle.</w:t>
      </w:r>
      <w:r w:rsidR="008E29B9">
        <w:rPr>
          <w:rStyle w:val="FootnoteReference"/>
        </w:rPr>
        <w:footnoteReference w:id="71"/>
      </w:r>
      <w:r w:rsidR="00FE4983">
        <w:t xml:space="preserve"> However, it is notable that no services were appended to the earlier phase of Scolland’s Hall dating to the 1080s, nor were there integrated services in the hall of </w:t>
      </w:r>
      <w:proofErr w:type="spellStart"/>
      <w:r w:rsidR="00FE4983">
        <w:t>Eynsford</w:t>
      </w:r>
      <w:proofErr w:type="spellEnd"/>
      <w:r w:rsidR="00FE4983">
        <w:t xml:space="preserve"> Castle (Kent) which was constructed in the late eleventh or early </w:t>
      </w:r>
      <w:r w:rsidR="00A85CBB">
        <w:t>12th</w:t>
      </w:r>
      <w:r w:rsidR="00FE4983">
        <w:t xml:space="preserve"> century.</w:t>
      </w:r>
      <w:r w:rsidR="008E29B9">
        <w:rPr>
          <w:rStyle w:val="FootnoteReference"/>
        </w:rPr>
        <w:footnoteReference w:id="72"/>
      </w:r>
      <w:r w:rsidR="00FE4983">
        <w:t xml:space="preserve"> </w:t>
      </w:r>
      <w:r w:rsidR="00B7604E">
        <w:t>By contrast, t</w:t>
      </w:r>
      <w:r w:rsidR="00FE4983">
        <w:t xml:space="preserve">he construction of </w:t>
      </w:r>
      <w:r w:rsidR="00B7604E">
        <w:t>contiguous</w:t>
      </w:r>
      <w:r w:rsidR="00FE4983">
        <w:t xml:space="preserve"> chamber</w:t>
      </w:r>
      <w:r w:rsidR="00B7604E">
        <w:t>s</w:t>
      </w:r>
      <w:r w:rsidR="00FE4983">
        <w:t xml:space="preserve"> </w:t>
      </w:r>
      <w:r w:rsidR="00B7604E">
        <w:t>was</w:t>
      </w:r>
      <w:r w:rsidR="00FE4983">
        <w:t xml:space="preserve"> common in the </w:t>
      </w:r>
      <w:r w:rsidR="002825A3">
        <w:t xml:space="preserve">early </w:t>
      </w:r>
      <w:r w:rsidR="00A85CBB">
        <w:t>12th</w:t>
      </w:r>
      <w:r w:rsidR="00FE4983">
        <w:t xml:space="preserve"> century and before, although </w:t>
      </w:r>
      <w:r w:rsidR="00B7604E">
        <w:t xml:space="preserve">equally </w:t>
      </w:r>
      <w:r w:rsidR="002825A3">
        <w:t>detached chamber blocks were also being constructed</w:t>
      </w:r>
      <w:r w:rsidR="004C1633">
        <w:t>, as noted above</w:t>
      </w:r>
      <w:r w:rsidR="002825A3">
        <w:t>.</w:t>
      </w:r>
      <w:r w:rsidR="008E29B9">
        <w:rPr>
          <w:rStyle w:val="FootnoteReference"/>
        </w:rPr>
        <w:footnoteReference w:id="73"/>
      </w:r>
      <w:r w:rsidR="002825A3">
        <w:t xml:space="preserve"> Integrated chambers are found </w:t>
      </w:r>
      <w:r w:rsidR="00420E18">
        <w:t xml:space="preserve">at </w:t>
      </w:r>
      <w:proofErr w:type="spellStart"/>
      <w:r w:rsidR="002825A3">
        <w:t>Scolland’s</w:t>
      </w:r>
      <w:proofErr w:type="spellEnd"/>
      <w:r w:rsidR="002825A3">
        <w:t xml:space="preserve"> and </w:t>
      </w:r>
      <w:proofErr w:type="spellStart"/>
      <w:r w:rsidR="002825A3">
        <w:t>Eynsford</w:t>
      </w:r>
      <w:proofErr w:type="spellEnd"/>
      <w:r w:rsidR="002825A3">
        <w:t xml:space="preserve">, where the halls were already set on the first floor and </w:t>
      </w:r>
      <w:r w:rsidR="00B7604E">
        <w:t xml:space="preserve">access </w:t>
      </w:r>
      <w:r w:rsidR="002825A3">
        <w:t xml:space="preserve">could </w:t>
      </w:r>
      <w:r w:rsidR="00B7604E">
        <w:t>be readily provided to an adjoining room.</w:t>
      </w:r>
    </w:p>
    <w:p w14:paraId="507223AF" w14:textId="7A5D9B6E" w:rsidR="00B7604E" w:rsidRDefault="00B7604E" w:rsidP="00277904">
      <w:pPr>
        <w:spacing w:line="360" w:lineRule="auto"/>
        <w:ind w:firstLine="720"/>
      </w:pPr>
      <w:r>
        <w:t>This summary of the developing plan of domestic buildings is relevant here because parallels between the form of houses and churches and have often been noted.</w:t>
      </w:r>
      <w:r w:rsidR="0072083A">
        <w:rPr>
          <w:rStyle w:val="FootnoteReference"/>
        </w:rPr>
        <w:footnoteReference w:id="74"/>
      </w:r>
      <w:r>
        <w:t xml:space="preserve">  Indeed, it is those similarities which ha</w:t>
      </w:r>
      <w:r w:rsidR="00420E18">
        <w:t>ve</w:t>
      </w:r>
      <w:r>
        <w:t xml:space="preserve"> allowed the mistaken identification of the Norman Hall as a domestic building. While it is clear that churches were not modelled on contemporary domestic buildings, nor were houses built as an imitation of sacred ones</w:t>
      </w:r>
      <w:r w:rsidR="00DB35CE">
        <w:t>, the relationship between the two must have been apparent. Both had a separation between a public space (hall, nave) and a reserved one (chamber, chancel) beyond it.</w:t>
      </w:r>
      <w:r w:rsidR="006619B6">
        <w:t xml:space="preserve"> In both,</w:t>
      </w:r>
      <w:r w:rsidR="00DB35CE">
        <w:t xml:space="preserve"> the public space </w:t>
      </w:r>
      <w:r w:rsidR="006619B6">
        <w:t xml:space="preserve">was entered at one end furthest from the reserved </w:t>
      </w:r>
      <w:r w:rsidR="006619B6">
        <w:lastRenderedPageBreak/>
        <w:t xml:space="preserve">space and in secular and sacred buildings of the </w:t>
      </w:r>
      <w:r w:rsidR="00A85CBB">
        <w:t>12th</w:t>
      </w:r>
      <w:r w:rsidR="006619B6">
        <w:t xml:space="preserve"> century there were often two entrances facing each other in the lateral walls.</w:t>
      </w:r>
      <w:r w:rsidR="0072083A">
        <w:rPr>
          <w:rStyle w:val="FootnoteReference"/>
        </w:rPr>
        <w:footnoteReference w:id="75"/>
      </w:r>
      <w:r w:rsidR="006619B6">
        <w:t xml:space="preserve"> It would be a mistake to go beyond this and exaggerate the similarities. They were separate building types for quite different functions. The features which distinguish the Norman Hall from contemporary houses have been discussed above. With the study of this building, the features which characterize the </w:t>
      </w:r>
      <w:r w:rsidR="004C1633">
        <w:t xml:space="preserve">various </w:t>
      </w:r>
      <w:r w:rsidR="006619B6">
        <w:t>building types have come more sharply into focus.</w:t>
      </w:r>
    </w:p>
    <w:p w14:paraId="66758A98" w14:textId="77777777" w:rsidR="00487E46" w:rsidRDefault="00487E46" w:rsidP="008E7CFA">
      <w:pPr>
        <w:spacing w:line="360" w:lineRule="auto"/>
      </w:pPr>
    </w:p>
    <w:p w14:paraId="6BD4196B" w14:textId="77777777" w:rsidR="006E43E6" w:rsidRDefault="006E43E6" w:rsidP="008E7CFA">
      <w:pPr>
        <w:spacing w:line="360" w:lineRule="auto"/>
      </w:pPr>
    </w:p>
    <w:p w14:paraId="42E01DA0" w14:textId="77777777" w:rsidR="00AE2343" w:rsidRDefault="00AE2343" w:rsidP="008E7CFA">
      <w:pPr>
        <w:spacing w:line="360" w:lineRule="auto"/>
      </w:pPr>
      <w:r>
        <w:t>ACKNOWLEDGEMENTS</w:t>
      </w:r>
    </w:p>
    <w:p w14:paraId="2F64ECCE" w14:textId="2ECCBEC2" w:rsidR="00D54359" w:rsidRDefault="00D54359" w:rsidP="008E7CFA">
      <w:pPr>
        <w:spacing w:line="360" w:lineRule="auto"/>
      </w:pPr>
    </w:p>
    <w:p w14:paraId="4261FCCD" w14:textId="0B16B907" w:rsidR="00D90495" w:rsidRDefault="00D54359" w:rsidP="008E7CFA">
      <w:pPr>
        <w:spacing w:line="360" w:lineRule="auto"/>
      </w:pPr>
      <w:r>
        <w:t xml:space="preserve">We are grateful to the National Trust who both facilitated our work at Horton Court and provided us with documents relating to it. We would like in particular to thank </w:t>
      </w:r>
      <w:proofErr w:type="spellStart"/>
      <w:r>
        <w:t>Demelza</w:t>
      </w:r>
      <w:proofErr w:type="spellEnd"/>
      <w:r>
        <w:t xml:space="preserve"> Williams and Martin Papworth. The former provided us with copies of the Buckler drawings in the British Library which were of particular importance in interpreting the building. </w:t>
      </w:r>
      <w:proofErr w:type="spellStart"/>
      <w:r>
        <w:t>Prof.</w:t>
      </w:r>
      <w:proofErr w:type="spellEnd"/>
      <w:r>
        <w:t xml:space="preserve"> John Blair was kind enough to send us his notes on the Norman Hall and encouraged us in our interpretation. </w:t>
      </w:r>
      <w:proofErr w:type="spellStart"/>
      <w:r w:rsidR="002A1343">
        <w:t>Prof.</w:t>
      </w:r>
      <w:proofErr w:type="spellEnd"/>
      <w:r w:rsidR="002A1343">
        <w:t xml:space="preserve"> </w:t>
      </w:r>
      <w:r w:rsidR="00102B46">
        <w:t>Malcolm Thurlby</w:t>
      </w:r>
      <w:r w:rsidR="00CD74D7">
        <w:t xml:space="preserve"> </w:t>
      </w:r>
      <w:r w:rsidR="00277904">
        <w:t>kindly gave advice on the dating of the mouldings around the doors.</w:t>
      </w:r>
      <w:r w:rsidR="002A1343">
        <w:t xml:space="preserve"> Dr Christopher Currie and John Blair kindly gave permission for the reproduction of the plan of Sutton Courtenay</w:t>
      </w:r>
      <w:r w:rsidR="00235D16">
        <w:t>, and the former kindly commented on the text</w:t>
      </w:r>
      <w:r w:rsidR="002A1343">
        <w:t>.</w:t>
      </w:r>
      <w:r w:rsidR="00C85B6B">
        <w:t xml:space="preserve"> We are grateful to Robert Ovens for assistance with some of the drawings. </w:t>
      </w:r>
    </w:p>
    <w:p w14:paraId="6E3E862D" w14:textId="77777777" w:rsidR="00CF40EB" w:rsidRDefault="00CF40EB"/>
    <w:p w14:paraId="6ECEBEE3" w14:textId="77777777" w:rsidR="00CF40EB" w:rsidRPr="0018285C" w:rsidRDefault="00CF40EB"/>
    <w:p w14:paraId="5BA0425B" w14:textId="77777777" w:rsidR="00CF40EB" w:rsidRPr="0018285C" w:rsidRDefault="00CF40EB" w:rsidP="00CF40EB">
      <w:pPr>
        <w:spacing w:line="360" w:lineRule="auto"/>
      </w:pPr>
      <w:r w:rsidRPr="0018285C">
        <w:t>NOTES ON AUTHORS</w:t>
      </w:r>
    </w:p>
    <w:p w14:paraId="6689D043" w14:textId="77777777" w:rsidR="00CF40EB" w:rsidRPr="0018285C" w:rsidRDefault="00CF40EB" w:rsidP="00CF40EB">
      <w:pPr>
        <w:spacing w:line="360" w:lineRule="auto"/>
      </w:pPr>
    </w:p>
    <w:p w14:paraId="648B4ED3" w14:textId="4DB363BF" w:rsidR="00D90495" w:rsidRDefault="00CF40EB" w:rsidP="00CF40EB">
      <w:pPr>
        <w:spacing w:line="360" w:lineRule="auto"/>
      </w:pPr>
      <w:r w:rsidRPr="0018285C">
        <w:t>Mark Gardiner is a Reader in Heritage at the University of Lincoln. He previously lectured at Queen’s University Belfast</w:t>
      </w:r>
      <w:r w:rsidR="0084316F" w:rsidRPr="0018285C">
        <w:t xml:space="preserve">. He </w:t>
      </w:r>
      <w:r w:rsidRPr="0018285C">
        <w:t>has published on the plans and structure of timber and stone medieval buildings, and has a particular interest in the interpretation of excavated remains.</w:t>
      </w:r>
    </w:p>
    <w:p w14:paraId="4A580DB0" w14:textId="7956D508" w:rsidR="00F156B9" w:rsidRDefault="00A66744" w:rsidP="00CF40EB">
      <w:pPr>
        <w:spacing w:line="360" w:lineRule="auto"/>
      </w:pPr>
      <w:r w:rsidRPr="00A66744">
        <w:t xml:space="preserve">Nick Hill is an independent architectural historian with research interests and publications in the fields of vernacular architecture and secular buildings of the </w:t>
      </w:r>
      <w:r w:rsidRPr="00A66744">
        <w:lastRenderedPageBreak/>
        <w:t>Norman period. He is also a chartered building surveyor and works for Historic England, managing repair and conservation projects.</w:t>
      </w:r>
    </w:p>
    <w:p w14:paraId="13379503" w14:textId="77777777" w:rsidR="00A66744" w:rsidRPr="0018285C" w:rsidRDefault="00A66744" w:rsidP="00CF40EB">
      <w:pPr>
        <w:spacing w:line="360" w:lineRule="auto"/>
      </w:pPr>
    </w:p>
    <w:p w14:paraId="55A0AB04" w14:textId="77777777" w:rsidR="00CF40EB" w:rsidRPr="0018285C" w:rsidRDefault="00CF40EB"/>
    <w:p w14:paraId="4F5BF082" w14:textId="29E8F9DD" w:rsidR="00D90495" w:rsidRPr="0018285C" w:rsidRDefault="0084316F" w:rsidP="00D90495">
      <w:pPr>
        <w:spacing w:line="360" w:lineRule="auto"/>
      </w:pPr>
      <w:r w:rsidRPr="0018285C">
        <w:t>ILLUSTRATION CAPTIONS</w:t>
      </w:r>
    </w:p>
    <w:p w14:paraId="69C65AC4" w14:textId="2D4D286C" w:rsidR="0084316F" w:rsidRPr="0018285C" w:rsidRDefault="0084316F" w:rsidP="00D90495">
      <w:pPr>
        <w:spacing w:line="360" w:lineRule="auto"/>
      </w:pPr>
    </w:p>
    <w:p w14:paraId="1FA1CA88" w14:textId="77777777" w:rsidR="0084316F" w:rsidRPr="0018285C" w:rsidRDefault="0084316F" w:rsidP="0018285C">
      <w:pPr>
        <w:spacing w:line="360" w:lineRule="auto"/>
        <w:ind w:left="567" w:hanging="567"/>
        <w:rPr>
          <w:i/>
        </w:rPr>
      </w:pPr>
      <w:r w:rsidRPr="0018285C">
        <w:t>Fig. 1. Plan of the Norman Hall in relationship to Horton Court house and Horton parish church (based on recent survey with details from architectural plans from the National Trust).</w:t>
      </w:r>
    </w:p>
    <w:p w14:paraId="0414738E" w14:textId="5F207914" w:rsidR="0084316F" w:rsidRPr="0018285C" w:rsidRDefault="0084316F" w:rsidP="0018285C">
      <w:pPr>
        <w:spacing w:line="360" w:lineRule="auto"/>
      </w:pPr>
    </w:p>
    <w:p w14:paraId="3F773E75" w14:textId="77777777" w:rsidR="0084316F" w:rsidRPr="0018285C" w:rsidRDefault="0084316F" w:rsidP="0018285C">
      <w:pPr>
        <w:spacing w:line="360" w:lineRule="auto"/>
        <w:ind w:left="567" w:hanging="567"/>
      </w:pPr>
      <w:r w:rsidRPr="0018285C">
        <w:t>Fig. 2. A view of Horton Court looking north-east, showing Horton church (left), the Norman Hall (centre left) and the later buildings of Horton Court (centre right and right).</w:t>
      </w:r>
    </w:p>
    <w:p w14:paraId="7BD1ECD2" w14:textId="77777777" w:rsidR="0084316F" w:rsidRPr="0018285C" w:rsidRDefault="0084316F" w:rsidP="0018285C">
      <w:pPr>
        <w:spacing w:line="360" w:lineRule="auto"/>
      </w:pPr>
    </w:p>
    <w:p w14:paraId="16C4CD44" w14:textId="7714BFA3" w:rsidR="0084316F" w:rsidRPr="0018285C" w:rsidRDefault="0084316F" w:rsidP="0018285C">
      <w:pPr>
        <w:spacing w:line="360" w:lineRule="auto"/>
      </w:pPr>
      <w:r w:rsidRPr="0018285C">
        <w:t>Fig. 3. Ground and first-floor plans of the Norman Hall as existing.</w:t>
      </w:r>
    </w:p>
    <w:p w14:paraId="7208D835" w14:textId="585B5D2B" w:rsidR="0084316F" w:rsidRPr="0018285C" w:rsidRDefault="0084316F" w:rsidP="0018285C">
      <w:pPr>
        <w:spacing w:line="360" w:lineRule="auto"/>
      </w:pPr>
    </w:p>
    <w:p w14:paraId="44121476" w14:textId="53127D08" w:rsidR="0084316F" w:rsidRPr="0018285C" w:rsidRDefault="0084316F" w:rsidP="0018285C">
      <w:pPr>
        <w:spacing w:line="360" w:lineRule="auto"/>
      </w:pPr>
      <w:r w:rsidRPr="0018285C">
        <w:t>Fig. 4. The (a, left) north and (b, right) south doors of the Norman Hall.</w:t>
      </w:r>
    </w:p>
    <w:p w14:paraId="07538E40" w14:textId="2B84E7C5" w:rsidR="0084316F" w:rsidRPr="0018285C" w:rsidRDefault="0084316F" w:rsidP="0018285C">
      <w:pPr>
        <w:spacing w:line="360" w:lineRule="auto"/>
      </w:pPr>
    </w:p>
    <w:p w14:paraId="65B332A2" w14:textId="77777777" w:rsidR="0084316F" w:rsidRPr="0018285C" w:rsidRDefault="0084316F" w:rsidP="0018285C">
      <w:pPr>
        <w:spacing w:line="360" w:lineRule="auto"/>
        <w:ind w:left="567" w:hanging="567"/>
        <w:rPr>
          <w:i/>
          <w:color w:val="FF0000"/>
        </w:rPr>
      </w:pPr>
      <w:r w:rsidRPr="0018285C">
        <w:t>Fig. 5. Orthophoto of south side exterior.</w:t>
      </w:r>
    </w:p>
    <w:p w14:paraId="24BC4516" w14:textId="7189B13B" w:rsidR="0084316F" w:rsidRPr="0018285C" w:rsidRDefault="0084316F" w:rsidP="0018285C">
      <w:pPr>
        <w:spacing w:line="360" w:lineRule="auto"/>
      </w:pPr>
    </w:p>
    <w:p w14:paraId="0CA4A8EF" w14:textId="77777777" w:rsidR="0084316F" w:rsidRPr="0018285C" w:rsidRDefault="0084316F" w:rsidP="0018285C">
      <w:pPr>
        <w:spacing w:line="360" w:lineRule="auto"/>
        <w:ind w:left="567" w:hanging="567"/>
      </w:pPr>
      <w:r w:rsidRPr="0018285C">
        <w:t>Fig. 6. Detail of the shaft, capital and impost on the east jamb of the north doorway of the Norman Hall.</w:t>
      </w:r>
    </w:p>
    <w:p w14:paraId="4A612A68" w14:textId="77777777" w:rsidR="0084316F" w:rsidRPr="0018285C" w:rsidRDefault="0084316F" w:rsidP="0018285C">
      <w:pPr>
        <w:spacing w:line="360" w:lineRule="auto"/>
      </w:pPr>
    </w:p>
    <w:p w14:paraId="02FF6A67" w14:textId="77777777" w:rsidR="0084316F" w:rsidRPr="0018285C" w:rsidRDefault="0084316F" w:rsidP="0018285C">
      <w:pPr>
        <w:spacing w:line="360" w:lineRule="auto"/>
        <w:ind w:left="567" w:hanging="567"/>
      </w:pPr>
      <w:r w:rsidRPr="0018285C">
        <w:t>Fig. 7. Orthophoto of south side interior of the Norman Hall with interpretation (below) of the original form.</w:t>
      </w:r>
    </w:p>
    <w:p w14:paraId="62AD83C9" w14:textId="432FAF32" w:rsidR="0084316F" w:rsidRPr="0018285C" w:rsidRDefault="0084316F" w:rsidP="0018285C">
      <w:pPr>
        <w:spacing w:line="360" w:lineRule="auto"/>
      </w:pPr>
    </w:p>
    <w:p w14:paraId="7DD66381" w14:textId="77777777" w:rsidR="0084316F" w:rsidRPr="0018285C" w:rsidRDefault="0084316F" w:rsidP="0018285C">
      <w:pPr>
        <w:spacing w:line="360" w:lineRule="auto"/>
        <w:ind w:left="567" w:hanging="567"/>
      </w:pPr>
      <w:r w:rsidRPr="0018285C">
        <w:t>Fig. 8. Photograph of the west end of the Norman Hall.</w:t>
      </w:r>
    </w:p>
    <w:p w14:paraId="1760F652" w14:textId="77777777" w:rsidR="0084316F" w:rsidRPr="0018285C" w:rsidRDefault="0084316F" w:rsidP="0018285C">
      <w:pPr>
        <w:spacing w:line="360" w:lineRule="auto"/>
      </w:pPr>
    </w:p>
    <w:p w14:paraId="71DFF726" w14:textId="77777777" w:rsidR="0084316F" w:rsidRPr="0018285C" w:rsidRDefault="0084316F" w:rsidP="0018285C">
      <w:pPr>
        <w:spacing w:line="360" w:lineRule="auto"/>
        <w:ind w:left="567" w:hanging="567"/>
      </w:pPr>
      <w:r w:rsidRPr="0018285C">
        <w:t>Fig. 9. Photograph of the interior of the window on the centre of the north wall of the Norman Hall.</w:t>
      </w:r>
    </w:p>
    <w:p w14:paraId="4F00EF0F" w14:textId="3280E93D" w:rsidR="0084316F" w:rsidRPr="0018285C" w:rsidRDefault="0084316F" w:rsidP="0018285C">
      <w:pPr>
        <w:spacing w:line="360" w:lineRule="auto"/>
      </w:pPr>
    </w:p>
    <w:p w14:paraId="5EA9B7CD" w14:textId="77777777" w:rsidR="0084316F" w:rsidRPr="0018285C" w:rsidRDefault="0084316F" w:rsidP="0018285C">
      <w:pPr>
        <w:spacing w:line="360" w:lineRule="auto"/>
        <w:ind w:left="567" w:hanging="567"/>
      </w:pPr>
      <w:r w:rsidRPr="0018285C">
        <w:t>Fig. 10. Photograph of the exterior of the north wall of the Norman Hall.</w:t>
      </w:r>
    </w:p>
    <w:p w14:paraId="16809A3C" w14:textId="1D27C2E1" w:rsidR="0084316F" w:rsidRPr="0018285C" w:rsidRDefault="0084316F" w:rsidP="0018285C">
      <w:pPr>
        <w:spacing w:line="360" w:lineRule="auto"/>
      </w:pPr>
    </w:p>
    <w:p w14:paraId="5D6A47F3" w14:textId="4BBF2E50" w:rsidR="0084316F" w:rsidRPr="0018285C" w:rsidRDefault="0084316F" w:rsidP="0018285C">
      <w:pPr>
        <w:spacing w:line="360" w:lineRule="auto"/>
      </w:pPr>
      <w:r w:rsidRPr="0018285C">
        <w:t>Fig. 11 Photograph of the interior of east end of the Norman Hall.</w:t>
      </w:r>
    </w:p>
    <w:p w14:paraId="006093CD" w14:textId="1412BFB2" w:rsidR="0018285C" w:rsidRPr="0018285C" w:rsidRDefault="0018285C" w:rsidP="0018285C">
      <w:pPr>
        <w:spacing w:line="360" w:lineRule="auto"/>
      </w:pPr>
    </w:p>
    <w:p w14:paraId="6BF65522" w14:textId="77777777" w:rsidR="0018285C" w:rsidRPr="0018285C" w:rsidRDefault="0018285C" w:rsidP="0018285C">
      <w:pPr>
        <w:spacing w:line="360" w:lineRule="auto"/>
        <w:ind w:left="567" w:hanging="567"/>
      </w:pPr>
      <w:r w:rsidRPr="0018285C">
        <w:t>Fig. 12 Phase plan of the Norman Hall and adjoining buildings.</w:t>
      </w:r>
    </w:p>
    <w:p w14:paraId="71458F55" w14:textId="77777777" w:rsidR="0018285C" w:rsidRPr="0018285C" w:rsidRDefault="0018285C" w:rsidP="0018285C">
      <w:pPr>
        <w:spacing w:line="360" w:lineRule="auto"/>
      </w:pPr>
    </w:p>
    <w:p w14:paraId="1498B242" w14:textId="77777777" w:rsidR="0018285C" w:rsidRPr="0018285C" w:rsidRDefault="0018285C" w:rsidP="0018285C">
      <w:pPr>
        <w:spacing w:line="360" w:lineRule="auto"/>
        <w:ind w:left="567" w:hanging="567"/>
      </w:pPr>
      <w:r w:rsidRPr="0018285C">
        <w:t xml:space="preserve">Fig. 13 The building phases of Horton Court up to the late 15th century (Nick Hill and Robert Ovens, after Harcourt and Harcourt) </w:t>
      </w:r>
    </w:p>
    <w:p w14:paraId="46E20FBA" w14:textId="77777777" w:rsidR="0018285C" w:rsidRPr="0018285C" w:rsidRDefault="0018285C" w:rsidP="0018285C">
      <w:pPr>
        <w:spacing w:line="360" w:lineRule="auto"/>
      </w:pPr>
    </w:p>
    <w:p w14:paraId="69822B19" w14:textId="77777777" w:rsidR="0018285C" w:rsidRPr="0018285C" w:rsidRDefault="0018285C" w:rsidP="0018285C">
      <w:pPr>
        <w:spacing w:line="360" w:lineRule="auto"/>
        <w:ind w:left="567" w:hanging="567"/>
      </w:pPr>
      <w:r w:rsidRPr="0018285C">
        <w:t>Fig. 14 The building phases of Horton Court up to the early sixteenth century (Nick Hill and Robert Ovens, after Harcourt and Harcourt).</w:t>
      </w:r>
    </w:p>
    <w:p w14:paraId="6E1A7128" w14:textId="77777777" w:rsidR="0018285C" w:rsidRPr="0018285C" w:rsidRDefault="0018285C" w:rsidP="0018285C">
      <w:pPr>
        <w:spacing w:line="360" w:lineRule="auto"/>
      </w:pPr>
    </w:p>
    <w:p w14:paraId="0773EE5E" w14:textId="77777777" w:rsidR="0018285C" w:rsidRPr="0018285C" w:rsidRDefault="0018285C" w:rsidP="0018285C">
      <w:pPr>
        <w:spacing w:line="360" w:lineRule="auto"/>
        <w:ind w:left="567" w:hanging="567"/>
      </w:pPr>
      <w:r w:rsidRPr="0018285C">
        <w:t>Fig. 15 Plan of the ‘Norman Hall’, Sutton Courtenay (drawn by John Blair and reproduced with permission from Currie, ‘Larger medieval houses’).</w:t>
      </w:r>
    </w:p>
    <w:p w14:paraId="0BAF3622" w14:textId="01FBF0AF" w:rsidR="00CD74D7" w:rsidRPr="0018285C" w:rsidRDefault="00CD74D7" w:rsidP="0018285C">
      <w:pPr>
        <w:rPr>
          <w:rFonts w:ascii="Garamond" w:hAnsi="Garamond"/>
        </w:rPr>
      </w:pPr>
    </w:p>
    <w:sectPr w:rsidR="00CD74D7" w:rsidRPr="0018285C" w:rsidSect="00CD7BDA">
      <w:headerReference w:type="even" r:id="rId8"/>
      <w:headerReference w:type="default" r:id="rId9"/>
      <w:footerReference w:type="even" r:id="rId10"/>
      <w:footerReference w:type="default" r:id="rId11"/>
      <w:pgSz w:w="11909" w:h="16834" w:code="9"/>
      <w:pgMar w:top="1440" w:right="1800" w:bottom="1440" w:left="1800" w:header="706" w:footer="70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E1DC83" w14:textId="77777777" w:rsidR="004D4AA0" w:rsidRDefault="004D4AA0">
      <w:r>
        <w:separator/>
      </w:r>
    </w:p>
  </w:endnote>
  <w:endnote w:type="continuationSeparator" w:id="0">
    <w:p w14:paraId="78AC7527" w14:textId="77777777" w:rsidR="004D4AA0" w:rsidRDefault="004D4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7C7D3" w14:textId="77777777" w:rsidR="000C76D6" w:rsidRDefault="000C76D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9A9C54A" w14:textId="77777777" w:rsidR="000C76D6" w:rsidRDefault="000C76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A01EE" w14:textId="59C5FE26" w:rsidR="000C76D6" w:rsidRDefault="000C76D6" w:rsidP="00CD7BDA">
    <w:pPr>
      <w:pStyle w:val="Footer"/>
      <w:framePr w:wrap="around" w:vAnchor="text" w:hAnchor="margin" w:xAlign="center" w:y="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579F70" w14:textId="77777777" w:rsidR="004D4AA0" w:rsidRDefault="004D4AA0">
      <w:r>
        <w:separator/>
      </w:r>
    </w:p>
  </w:footnote>
  <w:footnote w:type="continuationSeparator" w:id="0">
    <w:p w14:paraId="698AF27A" w14:textId="77777777" w:rsidR="004D4AA0" w:rsidRDefault="004D4AA0">
      <w:r>
        <w:continuationSeparator/>
      </w:r>
    </w:p>
  </w:footnote>
  <w:footnote w:id="1">
    <w:p w14:paraId="3C20E500" w14:textId="1848C79A" w:rsidR="000C76D6" w:rsidRDefault="000C76D6" w:rsidP="002D094E">
      <w:pPr>
        <w:spacing w:line="360" w:lineRule="auto"/>
        <w:ind w:left="567" w:hanging="567"/>
      </w:pPr>
      <w:r>
        <w:rPr>
          <w:rStyle w:val="FootnoteReference"/>
        </w:rPr>
        <w:footnoteRef/>
      </w:r>
      <w:r>
        <w:t xml:space="preserve"> </w:t>
      </w:r>
      <w:r w:rsidRPr="00172785">
        <w:rPr>
          <w:sz w:val="20"/>
        </w:rPr>
        <w:t>J</w:t>
      </w:r>
      <w:r>
        <w:rPr>
          <w:sz w:val="20"/>
        </w:rPr>
        <w:t>.</w:t>
      </w:r>
      <w:r w:rsidRPr="00172785">
        <w:rPr>
          <w:sz w:val="20"/>
        </w:rPr>
        <w:t>H</w:t>
      </w:r>
      <w:r>
        <w:rPr>
          <w:sz w:val="20"/>
        </w:rPr>
        <w:t>.</w:t>
      </w:r>
      <w:r w:rsidRPr="00172785">
        <w:rPr>
          <w:sz w:val="20"/>
        </w:rPr>
        <w:t xml:space="preserve"> Parker, and </w:t>
      </w:r>
      <w:r>
        <w:rPr>
          <w:sz w:val="20"/>
        </w:rPr>
        <w:t>J. Parker</w:t>
      </w:r>
      <w:r w:rsidRPr="00172785">
        <w:rPr>
          <w:sz w:val="20"/>
        </w:rPr>
        <w:t xml:space="preserve">, </w:t>
      </w:r>
      <w:r w:rsidRPr="00172785">
        <w:rPr>
          <w:i/>
          <w:sz w:val="20"/>
        </w:rPr>
        <w:t>Some Account of Dom</w:t>
      </w:r>
      <w:r>
        <w:rPr>
          <w:i/>
          <w:sz w:val="20"/>
        </w:rPr>
        <w:t>estic Architecture in England, f</w:t>
      </w:r>
      <w:r w:rsidRPr="00172785">
        <w:rPr>
          <w:i/>
          <w:sz w:val="20"/>
        </w:rPr>
        <w:t>rom Richard II to Henry VIII, Part II</w:t>
      </w:r>
      <w:r w:rsidRPr="00172785">
        <w:rPr>
          <w:sz w:val="20"/>
        </w:rPr>
        <w:t xml:space="preserve"> </w:t>
      </w:r>
      <w:r>
        <w:rPr>
          <w:sz w:val="20"/>
        </w:rPr>
        <w:t>(</w:t>
      </w:r>
      <w:r w:rsidRPr="00172785">
        <w:rPr>
          <w:sz w:val="20"/>
        </w:rPr>
        <w:t>Oxford</w:t>
      </w:r>
      <w:r>
        <w:rPr>
          <w:sz w:val="20"/>
        </w:rPr>
        <w:t>, 1859), 260.</w:t>
      </w:r>
    </w:p>
  </w:footnote>
  <w:footnote w:id="2">
    <w:p w14:paraId="3B1A67D6" w14:textId="1FDB02AD" w:rsidR="000C76D6" w:rsidRDefault="000C76D6" w:rsidP="002D094E">
      <w:pPr>
        <w:pStyle w:val="FootnoteText"/>
        <w:spacing w:line="360" w:lineRule="auto"/>
        <w:ind w:left="567" w:hanging="567"/>
      </w:pPr>
      <w:r>
        <w:rPr>
          <w:rStyle w:val="FootnoteReference"/>
        </w:rPr>
        <w:footnoteRef/>
      </w:r>
      <w:r>
        <w:t xml:space="preserve"> </w:t>
      </w:r>
      <w:r w:rsidRPr="00172785">
        <w:t>Royal Archaeological Insti</w:t>
      </w:r>
      <w:r>
        <w:t>tute, ‘Proceedings at the m</w:t>
      </w:r>
      <w:r w:rsidRPr="00172785">
        <w:t>eetings of</w:t>
      </w:r>
      <w:r>
        <w:t xml:space="preserve"> the Archaeological Institute, annual m</w:t>
      </w:r>
      <w:r w:rsidRPr="00172785">
        <w:t>eeting, 1860, held in Gloucester</w:t>
      </w:r>
      <w:r>
        <w:t>’</w:t>
      </w:r>
      <w:r w:rsidRPr="00172785">
        <w:t xml:space="preserve">, </w:t>
      </w:r>
      <w:proofErr w:type="spellStart"/>
      <w:r w:rsidRPr="00172785">
        <w:rPr>
          <w:i/>
        </w:rPr>
        <w:t>Archaeol</w:t>
      </w:r>
      <w:proofErr w:type="spellEnd"/>
      <w:r>
        <w:rPr>
          <w:i/>
        </w:rPr>
        <w:t>.</w:t>
      </w:r>
      <w:r w:rsidRPr="00172785">
        <w:rPr>
          <w:i/>
        </w:rPr>
        <w:t xml:space="preserve"> </w:t>
      </w:r>
      <w:proofErr w:type="spellStart"/>
      <w:r w:rsidRPr="00172785">
        <w:rPr>
          <w:i/>
        </w:rPr>
        <w:t>Jnl</w:t>
      </w:r>
      <w:proofErr w:type="spellEnd"/>
      <w:r>
        <w:rPr>
          <w:i/>
        </w:rPr>
        <w:t>.</w:t>
      </w:r>
      <w:r w:rsidRPr="00172785">
        <w:t xml:space="preserve"> </w:t>
      </w:r>
      <w:r w:rsidRPr="00CD7BDA">
        <w:t>17</w:t>
      </w:r>
      <w:r>
        <w:t xml:space="preserve"> (1860)</w:t>
      </w:r>
      <w:r w:rsidRPr="00172785">
        <w:t>, 32</w:t>
      </w:r>
      <w:r>
        <w:t>8.</w:t>
      </w:r>
    </w:p>
  </w:footnote>
  <w:footnote w:id="3">
    <w:p w14:paraId="66B3334B" w14:textId="2E283E89" w:rsidR="000C76D6" w:rsidRPr="004C1633" w:rsidRDefault="000C76D6" w:rsidP="002D094E">
      <w:pPr>
        <w:pStyle w:val="FootnoteText"/>
        <w:spacing w:line="360" w:lineRule="auto"/>
        <w:ind w:left="567" w:hanging="567"/>
      </w:pPr>
      <w:r w:rsidRPr="004C1633">
        <w:rPr>
          <w:rStyle w:val="FootnoteReference"/>
        </w:rPr>
        <w:footnoteRef/>
      </w:r>
      <w:r w:rsidRPr="004C1633">
        <w:t xml:space="preserve"> B</w:t>
      </w:r>
      <w:r>
        <w:t xml:space="preserve">rit. </w:t>
      </w:r>
      <w:proofErr w:type="spellStart"/>
      <w:r w:rsidRPr="004C1633">
        <w:t>L</w:t>
      </w:r>
      <w:r>
        <w:t>ibr</w:t>
      </w:r>
      <w:proofErr w:type="spellEnd"/>
      <w:r>
        <w:t>.</w:t>
      </w:r>
      <w:r w:rsidRPr="004C1633">
        <w:t>, Add.</w:t>
      </w:r>
      <w:r>
        <w:t xml:space="preserve"> MS 36362, f. 260 new foliation (which is also used below). Most of the drawings in this volume are from the late 1810s and 1820s, which may suggest the date for the record of Horton Court.</w:t>
      </w:r>
    </w:p>
  </w:footnote>
  <w:footnote w:id="4">
    <w:p w14:paraId="613149F3" w14:textId="7004A9B4" w:rsidR="000C76D6" w:rsidRPr="004C1633" w:rsidRDefault="000C76D6" w:rsidP="002D094E">
      <w:pPr>
        <w:pStyle w:val="FootnoteText"/>
        <w:spacing w:line="360" w:lineRule="auto"/>
        <w:ind w:left="567" w:hanging="567"/>
      </w:pPr>
      <w:r w:rsidRPr="004C1633">
        <w:rPr>
          <w:rStyle w:val="FootnoteReference"/>
        </w:rPr>
        <w:footnoteRef/>
      </w:r>
      <w:r w:rsidRPr="004C1633">
        <w:t xml:space="preserve"> </w:t>
      </w:r>
      <w:r w:rsidRPr="00A76042">
        <w:t>Royal Archaeological Institute</w:t>
      </w:r>
      <w:r>
        <w:t>,</w:t>
      </w:r>
      <w:r w:rsidRPr="00A76042">
        <w:t xml:space="preserve"> </w:t>
      </w:r>
      <w:r>
        <w:t>‘</w:t>
      </w:r>
      <w:r w:rsidRPr="00A76042">
        <w:t>Proceedings a</w:t>
      </w:r>
      <w:r>
        <w:t>t m</w:t>
      </w:r>
      <w:r w:rsidRPr="00A76042">
        <w:t>eetings of the R</w:t>
      </w:r>
      <w:r>
        <w:t>oyal Archaeological Institute: the summer m</w:t>
      </w:r>
      <w:r w:rsidRPr="00A76042">
        <w:t>eeting held at Bath</w:t>
      </w:r>
      <w:r>
        <w:t>’</w:t>
      </w:r>
      <w:r w:rsidRPr="00A76042">
        <w:t xml:space="preserve">, </w:t>
      </w:r>
      <w:proofErr w:type="spellStart"/>
      <w:r w:rsidRPr="00A76042">
        <w:rPr>
          <w:i/>
        </w:rPr>
        <w:t>Archaeol</w:t>
      </w:r>
      <w:proofErr w:type="spellEnd"/>
      <w:r>
        <w:rPr>
          <w:i/>
        </w:rPr>
        <w:t>.</w:t>
      </w:r>
      <w:r w:rsidRPr="00A76042">
        <w:rPr>
          <w:i/>
        </w:rPr>
        <w:t xml:space="preserve"> </w:t>
      </w:r>
      <w:proofErr w:type="spellStart"/>
      <w:r w:rsidRPr="00A76042">
        <w:rPr>
          <w:i/>
        </w:rPr>
        <w:t>Jnl</w:t>
      </w:r>
      <w:proofErr w:type="spellEnd"/>
      <w:r>
        <w:rPr>
          <w:i/>
        </w:rPr>
        <w:t>.</w:t>
      </w:r>
      <w:r w:rsidRPr="00CD7BDA">
        <w:t xml:space="preserve"> 87</w:t>
      </w:r>
      <w:r w:rsidRPr="00A76042">
        <w:t xml:space="preserve"> (1930), 449</w:t>
      </w:r>
      <w:r>
        <w:softHyphen/>
        <w:t>–</w:t>
      </w:r>
      <w:r w:rsidRPr="00A76042">
        <w:t>51</w:t>
      </w:r>
      <w:r>
        <w:t>.</w:t>
      </w:r>
    </w:p>
  </w:footnote>
  <w:footnote w:id="5">
    <w:p w14:paraId="1B20AF5E" w14:textId="507AAA8F" w:rsidR="000C76D6" w:rsidRPr="004C1633" w:rsidRDefault="000C76D6" w:rsidP="002D094E">
      <w:pPr>
        <w:pStyle w:val="FootnoteText"/>
        <w:spacing w:line="360" w:lineRule="auto"/>
        <w:ind w:left="567" w:hanging="567"/>
      </w:pPr>
      <w:r w:rsidRPr="004C1633">
        <w:rPr>
          <w:rStyle w:val="FootnoteReference"/>
        </w:rPr>
        <w:footnoteRef/>
      </w:r>
      <w:r w:rsidRPr="004C1633">
        <w:t xml:space="preserve"> </w:t>
      </w:r>
      <w:r>
        <w:t xml:space="preserve">M. </w:t>
      </w:r>
      <w:r w:rsidRPr="004C1633">
        <w:t>Wood</w:t>
      </w:r>
      <w:r>
        <w:t xml:space="preserve">, </w:t>
      </w:r>
      <w:r w:rsidRPr="00F645F1">
        <w:rPr>
          <w:i/>
        </w:rPr>
        <w:t>Norman Domestic Architecture</w:t>
      </w:r>
      <w:r w:rsidRPr="004C1633">
        <w:t xml:space="preserve"> </w:t>
      </w:r>
      <w:r>
        <w:t xml:space="preserve">(London, </w:t>
      </w:r>
      <w:r w:rsidRPr="004C1633">
        <w:t>1974</w:t>
      </w:r>
      <w:r>
        <w:t xml:space="preserve"> (first version, 1935)</w:t>
      </w:r>
      <w:r w:rsidRPr="004C1633">
        <w:t>, 69–70</w:t>
      </w:r>
      <w:r>
        <w:t>.</w:t>
      </w:r>
    </w:p>
  </w:footnote>
  <w:footnote w:id="6">
    <w:p w14:paraId="41281FAA" w14:textId="26A931A3" w:rsidR="000C76D6" w:rsidRPr="004C1633" w:rsidRDefault="000C76D6" w:rsidP="002D094E">
      <w:pPr>
        <w:pStyle w:val="FootnoteText"/>
        <w:spacing w:line="360" w:lineRule="auto"/>
        <w:ind w:left="567" w:hanging="567"/>
      </w:pPr>
      <w:r w:rsidRPr="004C1633">
        <w:rPr>
          <w:rStyle w:val="FootnoteReference"/>
        </w:rPr>
        <w:footnoteRef/>
      </w:r>
      <w:r w:rsidRPr="004C1633">
        <w:t xml:space="preserve"> </w:t>
      </w:r>
      <w:r>
        <w:t>I</w:t>
      </w:r>
      <w:r w:rsidRPr="003243C6">
        <w:t>bid</w:t>
      </w:r>
      <w:r w:rsidRPr="004C1633">
        <w:rPr>
          <w:i/>
        </w:rPr>
        <w:t>.</w:t>
      </w:r>
      <w:r w:rsidRPr="004C1633">
        <w:t xml:space="preserve"> 25</w:t>
      </w:r>
      <w:r>
        <w:t>.</w:t>
      </w:r>
    </w:p>
  </w:footnote>
  <w:footnote w:id="7">
    <w:p w14:paraId="3CF9BB4F" w14:textId="58BD3A6B" w:rsidR="000C76D6" w:rsidRPr="004C1633" w:rsidRDefault="000C76D6" w:rsidP="002D094E">
      <w:pPr>
        <w:spacing w:line="360" w:lineRule="auto"/>
        <w:ind w:left="567" w:hanging="567"/>
      </w:pPr>
      <w:r w:rsidRPr="004C1633">
        <w:rPr>
          <w:rStyle w:val="FootnoteReference"/>
        </w:rPr>
        <w:footnoteRef/>
      </w:r>
      <w:r w:rsidRPr="004C1633">
        <w:t xml:space="preserve"> </w:t>
      </w:r>
      <w:r>
        <w:t xml:space="preserve">J. </w:t>
      </w:r>
      <w:r>
        <w:rPr>
          <w:sz w:val="20"/>
        </w:rPr>
        <w:t>Harcourt</w:t>
      </w:r>
      <w:r w:rsidRPr="003243C6">
        <w:rPr>
          <w:sz w:val="20"/>
        </w:rPr>
        <w:t xml:space="preserve"> and </w:t>
      </w:r>
      <w:r>
        <w:rPr>
          <w:sz w:val="20"/>
        </w:rPr>
        <w:t xml:space="preserve">T. </w:t>
      </w:r>
      <w:r w:rsidRPr="003243C6">
        <w:rPr>
          <w:sz w:val="20"/>
        </w:rPr>
        <w:t xml:space="preserve">Harcourt, ‘The Development of Horton Court. An Architectural Survey. Part I: The Buildings’ </w:t>
      </w:r>
      <w:r>
        <w:rPr>
          <w:sz w:val="20"/>
        </w:rPr>
        <w:t>(u</w:t>
      </w:r>
      <w:r w:rsidRPr="003243C6">
        <w:rPr>
          <w:sz w:val="20"/>
        </w:rPr>
        <w:t xml:space="preserve">npublished report for </w:t>
      </w:r>
      <w:r>
        <w:rPr>
          <w:sz w:val="20"/>
        </w:rPr>
        <w:t xml:space="preserve">The National Trust, </w:t>
      </w:r>
      <w:r w:rsidRPr="003243C6">
        <w:rPr>
          <w:sz w:val="20"/>
        </w:rPr>
        <w:t xml:space="preserve">2008, revised </w:t>
      </w:r>
      <w:r>
        <w:rPr>
          <w:sz w:val="20"/>
        </w:rPr>
        <w:t>second edition 2016).</w:t>
      </w:r>
    </w:p>
  </w:footnote>
  <w:footnote w:id="8">
    <w:p w14:paraId="680EAC9C" w14:textId="6725AB01" w:rsidR="000C76D6" w:rsidRPr="004C1633" w:rsidRDefault="000C76D6" w:rsidP="002D094E">
      <w:pPr>
        <w:pStyle w:val="FootnoteText"/>
        <w:spacing w:line="360" w:lineRule="auto"/>
        <w:ind w:left="567" w:hanging="567"/>
      </w:pPr>
      <w:r w:rsidRPr="004C1633">
        <w:rPr>
          <w:rStyle w:val="FootnoteReference"/>
        </w:rPr>
        <w:footnoteRef/>
      </w:r>
      <w:r w:rsidRPr="004C1633">
        <w:t xml:space="preserve"> </w:t>
      </w:r>
      <w:r>
        <w:t xml:space="preserve">The </w:t>
      </w:r>
      <w:r w:rsidRPr="003243C6">
        <w:t xml:space="preserve">National Trust, </w:t>
      </w:r>
      <w:r w:rsidRPr="003243C6">
        <w:rPr>
          <w:i/>
        </w:rPr>
        <w:t>Horton Court, Avon</w:t>
      </w:r>
      <w:r w:rsidRPr="003243C6">
        <w:t xml:space="preserve"> </w:t>
      </w:r>
      <w:r>
        <w:t>(</w:t>
      </w:r>
      <w:r w:rsidRPr="003243C6">
        <w:t>London</w:t>
      </w:r>
      <w:r>
        <w:t xml:space="preserve">, </w:t>
      </w:r>
      <w:r w:rsidRPr="004C1633">
        <w:t>1985</w:t>
      </w:r>
      <w:r>
        <w:t>).</w:t>
      </w:r>
    </w:p>
  </w:footnote>
  <w:footnote w:id="9">
    <w:p w14:paraId="6A1505B5" w14:textId="2227CD42" w:rsidR="000C76D6" w:rsidRPr="004C1633" w:rsidRDefault="000C76D6" w:rsidP="002D094E">
      <w:pPr>
        <w:tabs>
          <w:tab w:val="left" w:pos="720"/>
          <w:tab w:val="left" w:pos="7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360" w:lineRule="auto"/>
        <w:ind w:left="567" w:hanging="567"/>
        <w:rPr>
          <w:sz w:val="22"/>
          <w:szCs w:val="22"/>
          <w:lang w:eastAsia="ja-JP"/>
        </w:rPr>
      </w:pPr>
      <w:r w:rsidRPr="004C1633">
        <w:rPr>
          <w:rStyle w:val="FootnoteReference"/>
        </w:rPr>
        <w:footnoteRef/>
      </w:r>
      <w:r w:rsidRPr="004C1633">
        <w:t xml:space="preserve"> </w:t>
      </w:r>
      <w:r w:rsidRPr="003243C6">
        <w:rPr>
          <w:sz w:val="20"/>
        </w:rPr>
        <w:t>W.H. Rich Jones (ed.)</w:t>
      </w:r>
      <w:r>
        <w:rPr>
          <w:sz w:val="20"/>
        </w:rPr>
        <w:t>,</w:t>
      </w:r>
      <w:r w:rsidRPr="003243C6">
        <w:rPr>
          <w:sz w:val="20"/>
        </w:rPr>
        <w:t xml:space="preserve"> </w:t>
      </w:r>
      <w:proofErr w:type="spellStart"/>
      <w:r w:rsidRPr="003243C6">
        <w:rPr>
          <w:i/>
          <w:sz w:val="20"/>
          <w:lang w:eastAsia="ja-JP"/>
        </w:rPr>
        <w:t>Vetus</w:t>
      </w:r>
      <w:proofErr w:type="spellEnd"/>
      <w:r w:rsidRPr="004C1633">
        <w:rPr>
          <w:i/>
          <w:sz w:val="20"/>
          <w:lang w:eastAsia="ja-JP"/>
        </w:rPr>
        <w:t xml:space="preserve"> </w:t>
      </w:r>
      <w:proofErr w:type="spellStart"/>
      <w:r w:rsidRPr="004C1633">
        <w:rPr>
          <w:i/>
          <w:sz w:val="20"/>
          <w:lang w:eastAsia="ja-JP"/>
        </w:rPr>
        <w:t>Registrum</w:t>
      </w:r>
      <w:proofErr w:type="spellEnd"/>
      <w:r w:rsidRPr="004C1633">
        <w:rPr>
          <w:i/>
          <w:sz w:val="20"/>
          <w:lang w:eastAsia="ja-JP"/>
        </w:rPr>
        <w:t xml:space="preserve"> </w:t>
      </w:r>
      <w:proofErr w:type="spellStart"/>
      <w:r w:rsidRPr="004C1633">
        <w:rPr>
          <w:i/>
          <w:sz w:val="20"/>
          <w:lang w:eastAsia="ja-JP"/>
        </w:rPr>
        <w:t>Sarisbariense</w:t>
      </w:r>
      <w:proofErr w:type="spellEnd"/>
      <w:r w:rsidRPr="004C1633">
        <w:rPr>
          <w:i/>
          <w:sz w:val="20"/>
          <w:lang w:eastAsia="ja-JP"/>
        </w:rPr>
        <w:t xml:space="preserve"> alias dictum </w:t>
      </w:r>
      <w:proofErr w:type="spellStart"/>
      <w:r w:rsidRPr="004C1633">
        <w:rPr>
          <w:i/>
          <w:sz w:val="20"/>
          <w:lang w:eastAsia="ja-JP"/>
        </w:rPr>
        <w:t>Registrum</w:t>
      </w:r>
      <w:proofErr w:type="spellEnd"/>
      <w:r w:rsidRPr="004C1633">
        <w:rPr>
          <w:i/>
          <w:sz w:val="20"/>
          <w:lang w:eastAsia="ja-JP"/>
        </w:rPr>
        <w:t xml:space="preserve"> S. Osmund </w:t>
      </w:r>
      <w:r w:rsidRPr="004C1633">
        <w:rPr>
          <w:sz w:val="20"/>
          <w:lang w:eastAsia="ja-JP"/>
        </w:rPr>
        <w:t xml:space="preserve">(Rolls Series </w:t>
      </w:r>
      <w:r w:rsidRPr="007A0F97">
        <w:rPr>
          <w:sz w:val="20"/>
          <w:lang w:eastAsia="ja-JP"/>
        </w:rPr>
        <w:t>78</w:t>
      </w:r>
      <w:r>
        <w:rPr>
          <w:sz w:val="20"/>
          <w:lang w:eastAsia="ja-JP"/>
        </w:rPr>
        <w:t>, 1883),</w:t>
      </w:r>
      <w:r w:rsidRPr="00B92941">
        <w:rPr>
          <w:sz w:val="20"/>
          <w:lang w:eastAsia="ja-JP"/>
        </w:rPr>
        <w:t xml:space="preserve"> i,</w:t>
      </w:r>
      <w:r>
        <w:rPr>
          <w:sz w:val="20"/>
          <w:lang w:eastAsia="ja-JP"/>
        </w:rPr>
        <w:t xml:space="preserve"> 202–</w:t>
      </w:r>
      <w:r w:rsidRPr="004C1633">
        <w:rPr>
          <w:sz w:val="20"/>
          <w:lang w:eastAsia="ja-JP"/>
        </w:rPr>
        <w:t>03.</w:t>
      </w:r>
    </w:p>
  </w:footnote>
  <w:footnote w:id="10">
    <w:p w14:paraId="1DDA68BA" w14:textId="6BFA2821" w:rsidR="000C76D6" w:rsidRPr="004C1633" w:rsidRDefault="000C76D6" w:rsidP="002D094E">
      <w:pPr>
        <w:pStyle w:val="FootnoteText"/>
        <w:spacing w:line="360" w:lineRule="auto"/>
        <w:ind w:left="567" w:hanging="567"/>
      </w:pPr>
      <w:r w:rsidRPr="004C1633">
        <w:rPr>
          <w:rStyle w:val="FootnoteReference"/>
        </w:rPr>
        <w:footnoteRef/>
      </w:r>
      <w:r w:rsidRPr="004C1633">
        <w:t xml:space="preserve"> </w:t>
      </w:r>
      <w:r w:rsidRPr="004C1633">
        <w:rPr>
          <w:i/>
          <w:lang w:eastAsia="ja-JP"/>
        </w:rPr>
        <w:t>Oxford Dictionary of National Biography</w:t>
      </w:r>
      <w:r w:rsidRPr="004C1633">
        <w:rPr>
          <w:lang w:eastAsia="ja-JP"/>
        </w:rPr>
        <w:t xml:space="preserve">, </w:t>
      </w:r>
      <w:proofErr w:type="spellStart"/>
      <w:r w:rsidRPr="004C1633">
        <w:rPr>
          <w:i/>
          <w:lang w:eastAsia="ja-JP"/>
        </w:rPr>
        <w:t>s.n</w:t>
      </w:r>
      <w:proofErr w:type="spellEnd"/>
      <w:r w:rsidRPr="004C1633">
        <w:rPr>
          <w:i/>
          <w:lang w:eastAsia="ja-JP"/>
        </w:rPr>
        <w:t xml:space="preserve">. </w:t>
      </w:r>
      <w:r w:rsidRPr="004C1633">
        <w:rPr>
          <w:lang w:eastAsia="ja-JP"/>
        </w:rPr>
        <w:t>William, bishop of Thetford</w:t>
      </w:r>
      <w:r>
        <w:rPr>
          <w:lang w:eastAsia="ja-JP"/>
        </w:rPr>
        <w:t xml:space="preserve"> (</w:t>
      </w:r>
      <w:hyperlink r:id="rId1" w:history="1">
        <w:r w:rsidRPr="003243C6">
          <w:rPr>
            <w:rStyle w:val="Hyperlink"/>
            <w:color w:val="auto"/>
            <w:u w:val="none"/>
            <w:lang w:eastAsia="ja-JP"/>
          </w:rPr>
          <w:t>www.odnb.com</w:t>
        </w:r>
      </w:hyperlink>
      <w:r w:rsidRPr="003243C6">
        <w:rPr>
          <w:lang w:eastAsia="ja-JP"/>
        </w:rPr>
        <w:t xml:space="preserve">, </w:t>
      </w:r>
      <w:r>
        <w:rPr>
          <w:lang w:eastAsia="ja-JP"/>
        </w:rPr>
        <w:t>accessed 28 September 2018).</w:t>
      </w:r>
    </w:p>
  </w:footnote>
  <w:footnote w:id="11">
    <w:p w14:paraId="7BB642C7" w14:textId="5EE8B26B" w:rsidR="000C76D6" w:rsidRDefault="000C76D6" w:rsidP="002D094E">
      <w:pPr>
        <w:pStyle w:val="FootnoteText"/>
        <w:spacing w:line="360" w:lineRule="auto"/>
        <w:ind w:left="567" w:hanging="567"/>
      </w:pPr>
      <w:r w:rsidRPr="004C1633">
        <w:rPr>
          <w:rStyle w:val="FootnoteReference"/>
        </w:rPr>
        <w:footnoteRef/>
      </w:r>
      <w:r w:rsidRPr="004C1633">
        <w:t xml:space="preserve"> </w:t>
      </w:r>
      <w:r>
        <w:t xml:space="preserve">D.E. Greenway (ed.) </w:t>
      </w:r>
      <w:proofErr w:type="spellStart"/>
      <w:r w:rsidRPr="004C1633">
        <w:rPr>
          <w:i/>
          <w:lang w:eastAsia="ja-JP"/>
        </w:rPr>
        <w:t>Fasti</w:t>
      </w:r>
      <w:proofErr w:type="spellEnd"/>
      <w:r w:rsidRPr="004C1633">
        <w:rPr>
          <w:i/>
          <w:lang w:eastAsia="ja-JP"/>
        </w:rPr>
        <w:t xml:space="preserve"> Ecclesiae </w:t>
      </w:r>
      <w:proofErr w:type="spellStart"/>
      <w:r w:rsidRPr="004C1633">
        <w:rPr>
          <w:i/>
          <w:lang w:eastAsia="ja-JP"/>
        </w:rPr>
        <w:t>Anglicanae</w:t>
      </w:r>
      <w:proofErr w:type="spellEnd"/>
      <w:r w:rsidRPr="004C1633">
        <w:rPr>
          <w:i/>
          <w:lang w:eastAsia="ja-JP"/>
        </w:rPr>
        <w:t xml:space="preserve"> 1066-1300</w:t>
      </w:r>
      <w:r>
        <w:rPr>
          <w:lang w:eastAsia="ja-JP"/>
        </w:rPr>
        <w:t xml:space="preserve">, </w:t>
      </w:r>
      <w:r w:rsidRPr="007A0F97">
        <w:rPr>
          <w:lang w:eastAsia="ja-JP"/>
        </w:rPr>
        <w:t>4</w:t>
      </w:r>
      <w:r>
        <w:rPr>
          <w:i/>
          <w:lang w:eastAsia="ja-JP"/>
        </w:rPr>
        <w:t xml:space="preserve"> </w:t>
      </w:r>
      <w:r>
        <w:rPr>
          <w:lang w:eastAsia="ja-JP"/>
        </w:rPr>
        <w:t>(</w:t>
      </w:r>
      <w:r w:rsidRPr="00B03EE0">
        <w:rPr>
          <w:lang w:eastAsia="ja-JP"/>
        </w:rPr>
        <w:t>Salisbury</w:t>
      </w:r>
      <w:r>
        <w:rPr>
          <w:lang w:eastAsia="ja-JP"/>
        </w:rPr>
        <w:t xml:space="preserve"> Diocese)</w:t>
      </w:r>
      <w:r>
        <w:rPr>
          <w:i/>
          <w:lang w:eastAsia="ja-JP"/>
        </w:rPr>
        <w:t xml:space="preserve"> </w:t>
      </w:r>
      <w:r>
        <w:rPr>
          <w:lang w:eastAsia="ja-JP"/>
        </w:rPr>
        <w:t>(London, 1991)</w:t>
      </w:r>
      <w:r w:rsidRPr="004C1633">
        <w:rPr>
          <w:lang w:eastAsia="ja-JP"/>
        </w:rPr>
        <w:t>, 77.</w:t>
      </w:r>
    </w:p>
  </w:footnote>
  <w:footnote w:id="12">
    <w:p w14:paraId="6488063A" w14:textId="13DCDBC7" w:rsidR="000C76D6" w:rsidRPr="004C1633" w:rsidRDefault="000C76D6" w:rsidP="002D094E">
      <w:pPr>
        <w:pStyle w:val="FootnoteText"/>
        <w:spacing w:line="360" w:lineRule="auto"/>
        <w:ind w:left="567" w:hanging="567"/>
      </w:pPr>
      <w:r w:rsidRPr="004C1633">
        <w:rPr>
          <w:rStyle w:val="FootnoteReference"/>
        </w:rPr>
        <w:footnoteRef/>
      </w:r>
      <w:r w:rsidRPr="004C1633">
        <w:t xml:space="preserve"> </w:t>
      </w:r>
      <w:r>
        <w:rPr>
          <w:lang w:eastAsia="ja-JP"/>
        </w:rPr>
        <w:t>B.</w:t>
      </w:r>
      <w:r w:rsidRPr="004C1633">
        <w:rPr>
          <w:lang w:eastAsia="ja-JP"/>
        </w:rPr>
        <w:t xml:space="preserve">R. Kemp </w:t>
      </w:r>
      <w:r>
        <w:rPr>
          <w:lang w:eastAsia="ja-JP"/>
        </w:rPr>
        <w:t xml:space="preserve">(ed.), </w:t>
      </w:r>
      <w:r w:rsidRPr="004C1633">
        <w:rPr>
          <w:i/>
          <w:lang w:eastAsia="ja-JP"/>
        </w:rPr>
        <w:t>English Episcopal Acta: Salisbury 1078–1217</w:t>
      </w:r>
      <w:r w:rsidRPr="004C1633">
        <w:rPr>
          <w:i/>
          <w:lang w:eastAsia="ja-JP"/>
        </w:rPr>
        <w:softHyphen/>
      </w:r>
      <w:r w:rsidRPr="004C1633">
        <w:rPr>
          <w:lang w:eastAsia="ja-JP"/>
        </w:rPr>
        <w:t xml:space="preserve"> </w:t>
      </w:r>
      <w:r>
        <w:rPr>
          <w:lang w:eastAsia="ja-JP"/>
        </w:rPr>
        <w:t xml:space="preserve">(Oxford, 1999), </w:t>
      </w:r>
      <w:proofErr w:type="spellStart"/>
      <w:r>
        <w:rPr>
          <w:lang w:eastAsia="ja-JP"/>
        </w:rPr>
        <w:t>nos</w:t>
      </w:r>
      <w:proofErr w:type="spellEnd"/>
      <w:r>
        <w:rPr>
          <w:lang w:eastAsia="ja-JP"/>
        </w:rPr>
        <w:t xml:space="preserve"> 184, 185</w:t>
      </w:r>
      <w:r w:rsidRPr="004C1633">
        <w:rPr>
          <w:lang w:eastAsia="ja-JP"/>
        </w:rPr>
        <w:t>.</w:t>
      </w:r>
    </w:p>
  </w:footnote>
  <w:footnote w:id="13">
    <w:p w14:paraId="5163BC35" w14:textId="4A1F51E9" w:rsidR="000C76D6" w:rsidRPr="004C1633" w:rsidRDefault="000C76D6" w:rsidP="002D094E">
      <w:pPr>
        <w:pStyle w:val="FootnoteText"/>
        <w:spacing w:line="360" w:lineRule="auto"/>
        <w:ind w:left="567" w:hanging="567"/>
        <w:rPr>
          <w:sz w:val="22"/>
          <w:szCs w:val="22"/>
        </w:rPr>
      </w:pPr>
      <w:r w:rsidRPr="004C1633">
        <w:rPr>
          <w:rStyle w:val="FootnoteReference"/>
          <w:sz w:val="22"/>
          <w:szCs w:val="22"/>
        </w:rPr>
        <w:footnoteRef/>
      </w:r>
      <w:r w:rsidRPr="004C1633">
        <w:rPr>
          <w:sz w:val="22"/>
          <w:szCs w:val="22"/>
        </w:rPr>
        <w:t xml:space="preserve"> </w:t>
      </w:r>
      <w:r>
        <w:rPr>
          <w:lang w:eastAsia="ja-JP"/>
        </w:rPr>
        <w:t>B.</w:t>
      </w:r>
      <w:r w:rsidRPr="004C1633">
        <w:rPr>
          <w:lang w:eastAsia="ja-JP"/>
        </w:rPr>
        <w:t xml:space="preserve">R. Kemp </w:t>
      </w:r>
      <w:r>
        <w:rPr>
          <w:lang w:eastAsia="ja-JP"/>
        </w:rPr>
        <w:t xml:space="preserve">(ed.), </w:t>
      </w:r>
      <w:r w:rsidRPr="004C1633">
        <w:rPr>
          <w:i/>
          <w:lang w:eastAsia="ja-JP"/>
        </w:rPr>
        <w:t>English Episcopal Acta: Salisbury 1217</w:t>
      </w:r>
      <w:r w:rsidRPr="004C1633">
        <w:rPr>
          <w:i/>
          <w:lang w:eastAsia="ja-JP"/>
        </w:rPr>
        <w:softHyphen/>
        <w:t>–1228</w:t>
      </w:r>
      <w:r>
        <w:rPr>
          <w:i/>
          <w:lang w:eastAsia="ja-JP"/>
        </w:rPr>
        <w:t xml:space="preserve"> </w:t>
      </w:r>
      <w:r w:rsidRPr="004C1633">
        <w:rPr>
          <w:lang w:eastAsia="ja-JP"/>
        </w:rPr>
        <w:t>(</w:t>
      </w:r>
      <w:r>
        <w:rPr>
          <w:lang w:eastAsia="ja-JP"/>
        </w:rPr>
        <w:t>Oxford, 2000), no. 357</w:t>
      </w:r>
      <w:r w:rsidRPr="004C1633">
        <w:rPr>
          <w:lang w:eastAsia="ja-JP"/>
        </w:rPr>
        <w:t>;</w:t>
      </w:r>
      <w:r w:rsidRPr="004C1633">
        <w:rPr>
          <w:i/>
          <w:lang w:eastAsia="ja-JP"/>
        </w:rPr>
        <w:t xml:space="preserve"> </w:t>
      </w:r>
      <w:proofErr w:type="spellStart"/>
      <w:r w:rsidRPr="004C1633">
        <w:rPr>
          <w:i/>
          <w:lang w:eastAsia="ja-JP"/>
        </w:rPr>
        <w:t>Registrum</w:t>
      </w:r>
      <w:proofErr w:type="spellEnd"/>
      <w:r w:rsidRPr="004C1633">
        <w:rPr>
          <w:i/>
          <w:lang w:eastAsia="ja-JP"/>
        </w:rPr>
        <w:t xml:space="preserve"> S. Osmund</w:t>
      </w:r>
      <w:r>
        <w:rPr>
          <w:lang w:eastAsia="ja-JP"/>
        </w:rPr>
        <w:t xml:space="preserve">, </w:t>
      </w:r>
      <w:proofErr w:type="spellStart"/>
      <w:r w:rsidRPr="00B92941">
        <w:rPr>
          <w:b/>
          <w:lang w:eastAsia="ja-JP"/>
        </w:rPr>
        <w:t>i</w:t>
      </w:r>
      <w:proofErr w:type="spellEnd"/>
      <w:r w:rsidRPr="00B92941">
        <w:rPr>
          <w:b/>
          <w:lang w:eastAsia="ja-JP"/>
        </w:rPr>
        <w:t xml:space="preserve">, </w:t>
      </w:r>
      <w:r>
        <w:rPr>
          <w:lang w:eastAsia="ja-JP"/>
        </w:rPr>
        <w:t>196–7.</w:t>
      </w:r>
    </w:p>
  </w:footnote>
  <w:footnote w:id="14">
    <w:p w14:paraId="7A380E9F" w14:textId="0627E7ED" w:rsidR="000C76D6" w:rsidRPr="00235D16" w:rsidRDefault="000C76D6" w:rsidP="002D094E">
      <w:pPr>
        <w:pStyle w:val="FootnoteText"/>
        <w:spacing w:line="360" w:lineRule="auto"/>
        <w:ind w:left="567" w:hanging="567"/>
        <w:rPr>
          <w:i/>
        </w:rPr>
      </w:pPr>
      <w:r w:rsidRPr="004C1633">
        <w:rPr>
          <w:rStyle w:val="FootnoteReference"/>
        </w:rPr>
        <w:footnoteRef/>
      </w:r>
      <w:r w:rsidRPr="004C1633">
        <w:t xml:space="preserve"> </w:t>
      </w:r>
      <w:r w:rsidRPr="004C1633">
        <w:rPr>
          <w:i/>
          <w:lang w:eastAsia="ja-JP"/>
        </w:rPr>
        <w:t>English Episcopal Acta: Salisbury 1078–1217</w:t>
      </w:r>
      <w:r w:rsidRPr="004C1633">
        <w:rPr>
          <w:i/>
          <w:lang w:eastAsia="ja-JP"/>
        </w:rPr>
        <w:softHyphen/>
      </w:r>
      <w:r w:rsidRPr="004C1633">
        <w:rPr>
          <w:lang w:eastAsia="ja-JP"/>
        </w:rPr>
        <w:t>, no. 124</w:t>
      </w:r>
      <w:r>
        <w:rPr>
          <w:lang w:eastAsia="ja-JP"/>
        </w:rPr>
        <w:t xml:space="preserve">; cf. </w:t>
      </w:r>
      <w:r>
        <w:rPr>
          <w:i/>
          <w:lang w:eastAsia="ja-JP"/>
        </w:rPr>
        <w:t>Victoria County History of Wiltshire</w:t>
      </w:r>
      <w:r w:rsidRPr="00235D16">
        <w:rPr>
          <w:b/>
          <w:i/>
          <w:lang w:eastAsia="ja-JP"/>
        </w:rPr>
        <w:t xml:space="preserve"> </w:t>
      </w:r>
      <w:r w:rsidRPr="00235D16">
        <w:rPr>
          <w:b/>
          <w:lang w:eastAsia="ja-JP"/>
        </w:rPr>
        <w:t>7</w:t>
      </w:r>
      <w:r>
        <w:rPr>
          <w:lang w:eastAsia="ja-JP"/>
        </w:rPr>
        <w:t>, 189–91.</w:t>
      </w:r>
      <w:r>
        <w:rPr>
          <w:i/>
          <w:lang w:eastAsia="ja-JP"/>
        </w:rPr>
        <w:t xml:space="preserve"> </w:t>
      </w:r>
    </w:p>
  </w:footnote>
  <w:footnote w:id="15">
    <w:p w14:paraId="5395F401" w14:textId="488503B7" w:rsidR="000C76D6" w:rsidRPr="004C1633" w:rsidRDefault="000C76D6" w:rsidP="002D094E">
      <w:pPr>
        <w:pStyle w:val="FootnoteText"/>
        <w:spacing w:line="360" w:lineRule="auto"/>
        <w:ind w:left="567" w:hanging="567"/>
      </w:pPr>
      <w:r w:rsidRPr="004C1633">
        <w:rPr>
          <w:rStyle w:val="FootnoteReference"/>
        </w:rPr>
        <w:footnoteRef/>
      </w:r>
      <w:r w:rsidRPr="004C1633">
        <w:t xml:space="preserve"> </w:t>
      </w:r>
      <w:r>
        <w:rPr>
          <w:lang w:eastAsia="ja-JP"/>
        </w:rPr>
        <w:t>B.</w:t>
      </w:r>
      <w:r w:rsidRPr="004C1633">
        <w:rPr>
          <w:lang w:eastAsia="ja-JP"/>
        </w:rPr>
        <w:t xml:space="preserve">R. Kemp </w:t>
      </w:r>
      <w:r>
        <w:rPr>
          <w:lang w:eastAsia="ja-JP"/>
        </w:rPr>
        <w:t xml:space="preserve">(ed.), </w:t>
      </w:r>
      <w:r w:rsidRPr="004C1633">
        <w:rPr>
          <w:i/>
          <w:lang w:eastAsia="ja-JP"/>
        </w:rPr>
        <w:t>English Episcopal Acta: Salisbury 1229</w:t>
      </w:r>
      <w:r w:rsidRPr="004C1633">
        <w:rPr>
          <w:i/>
          <w:lang w:eastAsia="ja-JP"/>
        </w:rPr>
        <w:softHyphen/>
        <w:t>–1262</w:t>
      </w:r>
      <w:r w:rsidRPr="004C1633">
        <w:rPr>
          <w:lang w:eastAsia="ja-JP"/>
        </w:rPr>
        <w:t xml:space="preserve"> (</w:t>
      </w:r>
      <w:r>
        <w:rPr>
          <w:lang w:eastAsia="ja-JP"/>
        </w:rPr>
        <w:t xml:space="preserve">Oxford, 2010), </w:t>
      </w:r>
      <w:proofErr w:type="spellStart"/>
      <w:r>
        <w:rPr>
          <w:lang w:eastAsia="ja-JP"/>
        </w:rPr>
        <w:t>nos</w:t>
      </w:r>
      <w:proofErr w:type="spellEnd"/>
      <w:r>
        <w:rPr>
          <w:lang w:eastAsia="ja-JP"/>
        </w:rPr>
        <w:t xml:space="preserve"> 74, 78, </w:t>
      </w:r>
      <w:proofErr w:type="gramStart"/>
      <w:r>
        <w:rPr>
          <w:lang w:eastAsia="ja-JP"/>
        </w:rPr>
        <w:t xml:space="preserve">159 </w:t>
      </w:r>
      <w:r w:rsidRPr="004C1633">
        <w:rPr>
          <w:lang w:eastAsia="ja-JP"/>
        </w:rPr>
        <w:t>.</w:t>
      </w:r>
      <w:proofErr w:type="gramEnd"/>
    </w:p>
  </w:footnote>
  <w:footnote w:id="16">
    <w:p w14:paraId="3ABEA926" w14:textId="74CED909" w:rsidR="000C76D6" w:rsidRPr="004C1633" w:rsidRDefault="000C76D6" w:rsidP="002D094E">
      <w:pPr>
        <w:pStyle w:val="FootnoteText"/>
        <w:spacing w:line="360" w:lineRule="auto"/>
        <w:ind w:left="567" w:hanging="567"/>
      </w:pPr>
      <w:r w:rsidRPr="004C1633">
        <w:rPr>
          <w:rStyle w:val="FootnoteReference"/>
        </w:rPr>
        <w:footnoteRef/>
      </w:r>
      <w:r w:rsidRPr="004C1633">
        <w:t xml:space="preserve"> </w:t>
      </w:r>
      <w:proofErr w:type="spellStart"/>
      <w:r w:rsidRPr="004C1633">
        <w:rPr>
          <w:i/>
          <w:lang w:eastAsia="ja-JP"/>
        </w:rPr>
        <w:t>Fasti</w:t>
      </w:r>
      <w:proofErr w:type="spellEnd"/>
      <w:r w:rsidRPr="004C1633">
        <w:rPr>
          <w:i/>
          <w:lang w:eastAsia="ja-JP"/>
        </w:rPr>
        <w:t xml:space="preserve"> Ecclesiae </w:t>
      </w:r>
      <w:proofErr w:type="spellStart"/>
      <w:r w:rsidRPr="004C1633">
        <w:rPr>
          <w:i/>
          <w:lang w:eastAsia="ja-JP"/>
        </w:rPr>
        <w:t>Anglicanae</w:t>
      </w:r>
      <w:proofErr w:type="spellEnd"/>
      <w:r w:rsidRPr="004C1633">
        <w:rPr>
          <w:i/>
          <w:lang w:eastAsia="ja-JP"/>
        </w:rPr>
        <w:t xml:space="preserve"> 1066-1300</w:t>
      </w:r>
      <w:r w:rsidRPr="00592FCC">
        <w:rPr>
          <w:i/>
          <w:lang w:eastAsia="ja-JP"/>
        </w:rPr>
        <w:t>: Salisbury</w:t>
      </w:r>
      <w:r w:rsidRPr="004C1633">
        <w:rPr>
          <w:i/>
          <w:lang w:eastAsia="ja-JP"/>
        </w:rPr>
        <w:t>,</w:t>
      </w:r>
      <w:r w:rsidRPr="004C1633">
        <w:rPr>
          <w:lang w:eastAsia="ja-JP"/>
        </w:rPr>
        <w:t xml:space="preserve"> </w:t>
      </w:r>
      <w:r w:rsidRPr="007A0F97">
        <w:rPr>
          <w:lang w:eastAsia="ja-JP"/>
        </w:rPr>
        <w:t>4</w:t>
      </w:r>
      <w:r w:rsidRPr="004C1633">
        <w:rPr>
          <w:lang w:eastAsia="ja-JP"/>
        </w:rPr>
        <w:t>, 77.</w:t>
      </w:r>
    </w:p>
  </w:footnote>
  <w:footnote w:id="17">
    <w:p w14:paraId="3C5FAB05" w14:textId="55AF2834" w:rsidR="000C76D6" w:rsidRPr="00441B1B" w:rsidRDefault="000C76D6" w:rsidP="002D094E">
      <w:pPr>
        <w:pStyle w:val="FootnoteText"/>
        <w:spacing w:line="360" w:lineRule="auto"/>
        <w:ind w:left="567" w:hanging="567"/>
      </w:pPr>
      <w:r>
        <w:rPr>
          <w:rStyle w:val="FootnoteReference"/>
        </w:rPr>
        <w:footnoteRef/>
      </w:r>
      <w:r>
        <w:t xml:space="preserve"> T. </w:t>
      </w:r>
      <w:proofErr w:type="spellStart"/>
      <w:r>
        <w:t>Astle</w:t>
      </w:r>
      <w:proofErr w:type="spellEnd"/>
      <w:r>
        <w:t xml:space="preserve"> and S. </w:t>
      </w:r>
      <w:proofErr w:type="spellStart"/>
      <w:r>
        <w:t>Ayscough</w:t>
      </w:r>
      <w:proofErr w:type="spellEnd"/>
      <w:r>
        <w:t xml:space="preserve"> (ed.), </w:t>
      </w:r>
      <w:proofErr w:type="spellStart"/>
      <w:r>
        <w:rPr>
          <w:i/>
        </w:rPr>
        <w:t>Taxatio</w:t>
      </w:r>
      <w:proofErr w:type="spellEnd"/>
      <w:r>
        <w:rPr>
          <w:i/>
        </w:rPr>
        <w:t xml:space="preserve"> </w:t>
      </w:r>
      <w:proofErr w:type="spellStart"/>
      <w:r>
        <w:rPr>
          <w:i/>
        </w:rPr>
        <w:t>Ecclesiastica</w:t>
      </w:r>
      <w:proofErr w:type="spellEnd"/>
      <w:r>
        <w:rPr>
          <w:i/>
        </w:rPr>
        <w:t xml:space="preserve"> </w:t>
      </w:r>
      <w:proofErr w:type="spellStart"/>
      <w:r>
        <w:rPr>
          <w:i/>
        </w:rPr>
        <w:t>Angliae</w:t>
      </w:r>
      <w:proofErr w:type="spellEnd"/>
      <w:r>
        <w:rPr>
          <w:i/>
        </w:rPr>
        <w:t xml:space="preserve"> et </w:t>
      </w:r>
      <w:proofErr w:type="spellStart"/>
      <w:r>
        <w:rPr>
          <w:i/>
        </w:rPr>
        <w:t>Walliae</w:t>
      </w:r>
      <w:proofErr w:type="spellEnd"/>
      <w:r>
        <w:t xml:space="preserve"> (London, 1802), 238; </w:t>
      </w:r>
      <w:r w:rsidRPr="000D7697">
        <w:t>https://www.dhi.ac.uk/taxatio/benkey?benkey=WO.GL.HW.01</w:t>
      </w:r>
      <w:r>
        <w:t xml:space="preserve"> (accessed 28 September 2018).</w:t>
      </w:r>
    </w:p>
  </w:footnote>
  <w:footnote w:id="18">
    <w:p w14:paraId="4C62FB7C" w14:textId="0F2A3588" w:rsidR="000C76D6" w:rsidRPr="004C1633" w:rsidRDefault="000C76D6" w:rsidP="002D094E">
      <w:pPr>
        <w:pStyle w:val="FootnoteText"/>
        <w:spacing w:line="360" w:lineRule="auto"/>
        <w:ind w:left="567" w:hanging="567"/>
      </w:pPr>
      <w:r w:rsidRPr="004C1633">
        <w:rPr>
          <w:rStyle w:val="FootnoteReference"/>
          <w:sz w:val="22"/>
          <w:szCs w:val="22"/>
        </w:rPr>
        <w:footnoteRef/>
      </w:r>
      <w:r w:rsidRPr="004C1633">
        <w:rPr>
          <w:sz w:val="22"/>
          <w:szCs w:val="22"/>
        </w:rPr>
        <w:t xml:space="preserve"> </w:t>
      </w:r>
      <w:r w:rsidRPr="00B03EE0">
        <w:t>J.M. Horn (ed.),</w:t>
      </w:r>
      <w:r>
        <w:rPr>
          <w:sz w:val="22"/>
          <w:szCs w:val="22"/>
        </w:rPr>
        <w:t xml:space="preserve"> </w:t>
      </w:r>
      <w:proofErr w:type="spellStart"/>
      <w:r w:rsidRPr="004C1633">
        <w:rPr>
          <w:i/>
        </w:rPr>
        <w:t>Fasti</w:t>
      </w:r>
      <w:proofErr w:type="spellEnd"/>
      <w:r w:rsidRPr="004C1633">
        <w:rPr>
          <w:i/>
        </w:rPr>
        <w:t xml:space="preserve"> Ecclesiae </w:t>
      </w:r>
      <w:proofErr w:type="spellStart"/>
      <w:r w:rsidRPr="004C1633">
        <w:rPr>
          <w:i/>
        </w:rPr>
        <w:t>Anglicanae</w:t>
      </w:r>
      <w:proofErr w:type="spellEnd"/>
      <w:r w:rsidRPr="004C1633">
        <w:rPr>
          <w:i/>
        </w:rPr>
        <w:t xml:space="preserve"> 1300–1541</w:t>
      </w:r>
      <w:r w:rsidRPr="004C1633">
        <w:t xml:space="preserve">, </w:t>
      </w:r>
      <w:r w:rsidRPr="00B92941">
        <w:rPr>
          <w:b/>
        </w:rPr>
        <w:t>3</w:t>
      </w:r>
      <w:r w:rsidRPr="004C1633">
        <w:t xml:space="preserve"> (Salisbury Diocese)</w:t>
      </w:r>
      <w:r>
        <w:t xml:space="preserve"> (London, 1962)</w:t>
      </w:r>
      <w:r w:rsidRPr="004C1633">
        <w:t>, 62.</w:t>
      </w:r>
    </w:p>
  </w:footnote>
  <w:footnote w:id="19">
    <w:p w14:paraId="0C56A3BC" w14:textId="6532EEDD" w:rsidR="000C76D6" w:rsidRPr="00461A67" w:rsidRDefault="000C76D6" w:rsidP="002D094E">
      <w:pPr>
        <w:pStyle w:val="FootnoteText"/>
        <w:spacing w:line="360" w:lineRule="auto"/>
        <w:ind w:left="567" w:hanging="567"/>
      </w:pPr>
      <w:r>
        <w:rPr>
          <w:rStyle w:val="FootnoteReference"/>
        </w:rPr>
        <w:footnoteRef/>
      </w:r>
      <w:r>
        <w:t xml:space="preserve"> </w:t>
      </w:r>
      <w:r>
        <w:rPr>
          <w:i/>
        </w:rPr>
        <w:t>Oxford Dictionary of National Biography</w:t>
      </w:r>
      <w:r>
        <w:t xml:space="preserve">, </w:t>
      </w:r>
      <w:proofErr w:type="spellStart"/>
      <w:r w:rsidRPr="00592FCC">
        <w:rPr>
          <w:i/>
        </w:rPr>
        <w:t>s.n</w:t>
      </w:r>
      <w:proofErr w:type="spellEnd"/>
      <w:r>
        <w:t>. William Knight (</w:t>
      </w:r>
      <w:hyperlink r:id="rId2" w:history="1">
        <w:r w:rsidRPr="003243C6">
          <w:rPr>
            <w:rStyle w:val="Hyperlink"/>
            <w:color w:val="auto"/>
            <w:u w:val="none"/>
            <w:lang w:eastAsia="ja-JP"/>
          </w:rPr>
          <w:t>www.odnb.com</w:t>
        </w:r>
      </w:hyperlink>
      <w:r w:rsidRPr="003243C6">
        <w:rPr>
          <w:lang w:eastAsia="ja-JP"/>
        </w:rPr>
        <w:t xml:space="preserve">, </w:t>
      </w:r>
      <w:r>
        <w:t>accessed 28 September 2018).</w:t>
      </w:r>
    </w:p>
  </w:footnote>
  <w:footnote w:id="20">
    <w:p w14:paraId="5EA58341" w14:textId="209A942B" w:rsidR="000C76D6" w:rsidRDefault="000C76D6" w:rsidP="002D094E">
      <w:pPr>
        <w:pStyle w:val="FootnoteText"/>
        <w:spacing w:line="360" w:lineRule="auto"/>
      </w:pPr>
      <w:r>
        <w:rPr>
          <w:rStyle w:val="FootnoteReference"/>
        </w:rPr>
        <w:footnoteRef/>
      </w:r>
      <w:r>
        <w:t xml:space="preserve"> Brit. </w:t>
      </w:r>
      <w:proofErr w:type="spellStart"/>
      <w:r>
        <w:t>Libr</w:t>
      </w:r>
      <w:proofErr w:type="spellEnd"/>
      <w:r>
        <w:t>., Add. MS 36362, f. 260.</w:t>
      </w:r>
    </w:p>
  </w:footnote>
  <w:footnote w:id="21">
    <w:p w14:paraId="0EA94EE6" w14:textId="4D30FAB8" w:rsidR="000C76D6" w:rsidRDefault="000C76D6" w:rsidP="002D094E">
      <w:pPr>
        <w:pStyle w:val="FootnoteText"/>
        <w:spacing w:line="360" w:lineRule="auto"/>
      </w:pPr>
      <w:r>
        <w:rPr>
          <w:rStyle w:val="FootnoteReference"/>
        </w:rPr>
        <w:footnoteRef/>
      </w:r>
      <w:r>
        <w:t xml:space="preserve"> E</w:t>
      </w:r>
      <w:r w:rsidRPr="0000426D">
        <w:t xml:space="preserve">. Hodges, </w:t>
      </w:r>
      <w:r w:rsidRPr="0000426D">
        <w:rPr>
          <w:i/>
        </w:rPr>
        <w:t>Some Ancient English Homes and their Associations</w:t>
      </w:r>
      <w:r w:rsidRPr="0000426D">
        <w:t xml:space="preserve"> (London, </w:t>
      </w:r>
      <w:r w:rsidRPr="001646D4">
        <w:t>1895), 237.</w:t>
      </w:r>
    </w:p>
  </w:footnote>
  <w:footnote w:id="22">
    <w:p w14:paraId="104491D1" w14:textId="5F3E6245" w:rsidR="000C76D6" w:rsidRDefault="000C76D6" w:rsidP="002D094E">
      <w:pPr>
        <w:pStyle w:val="FootnoteText"/>
        <w:spacing w:line="360" w:lineRule="auto"/>
      </w:pPr>
      <w:r>
        <w:rPr>
          <w:rStyle w:val="FootnoteReference"/>
        </w:rPr>
        <w:footnoteRef/>
      </w:r>
      <w:r>
        <w:t xml:space="preserve"> Harcourt and Harcourt, </w:t>
      </w:r>
      <w:r w:rsidRPr="003243C6">
        <w:t>‘The Development of Horton Court</w:t>
      </w:r>
      <w:r>
        <w:t xml:space="preserve">’, 330–1. </w:t>
      </w:r>
    </w:p>
  </w:footnote>
  <w:footnote w:id="23">
    <w:p w14:paraId="319AC49C" w14:textId="3728D6D4" w:rsidR="000C76D6" w:rsidRDefault="000C76D6" w:rsidP="002D094E">
      <w:pPr>
        <w:pStyle w:val="FootnoteText"/>
        <w:spacing w:line="360" w:lineRule="auto"/>
      </w:pPr>
      <w:r>
        <w:rPr>
          <w:rStyle w:val="FootnoteReference"/>
        </w:rPr>
        <w:footnoteRef/>
      </w:r>
      <w:r>
        <w:t xml:space="preserve"> </w:t>
      </w:r>
      <w:r w:rsidRPr="001646D4">
        <w:t xml:space="preserve">Hodges, </w:t>
      </w:r>
      <w:r w:rsidRPr="001646D4">
        <w:rPr>
          <w:i/>
        </w:rPr>
        <w:t>Some Ancient English Homes</w:t>
      </w:r>
      <w:r w:rsidRPr="001646D4">
        <w:t>, 237.</w:t>
      </w:r>
      <w:r>
        <w:t xml:space="preserve"> </w:t>
      </w:r>
    </w:p>
  </w:footnote>
  <w:footnote w:id="24">
    <w:p w14:paraId="19756BAB" w14:textId="69C63CE8" w:rsidR="000C76D6" w:rsidRDefault="000C76D6" w:rsidP="002D094E">
      <w:pPr>
        <w:pStyle w:val="FootnoteText"/>
        <w:spacing w:line="360" w:lineRule="auto"/>
      </w:pPr>
      <w:r>
        <w:rPr>
          <w:rStyle w:val="FootnoteReference"/>
        </w:rPr>
        <w:footnoteRef/>
      </w:r>
      <w:r>
        <w:t xml:space="preserve"> Harcourt and Harcourt, </w:t>
      </w:r>
      <w:r w:rsidRPr="003243C6">
        <w:t>‘The Development of Horton Court</w:t>
      </w:r>
      <w:r>
        <w:t>’, 71.</w:t>
      </w:r>
    </w:p>
  </w:footnote>
  <w:footnote w:id="25">
    <w:p w14:paraId="48B02E2D" w14:textId="70E91C1C" w:rsidR="000C76D6" w:rsidRDefault="000C76D6" w:rsidP="002D094E">
      <w:pPr>
        <w:pStyle w:val="FootnoteText"/>
        <w:spacing w:line="360" w:lineRule="auto"/>
      </w:pPr>
      <w:r>
        <w:rPr>
          <w:rStyle w:val="FootnoteReference"/>
        </w:rPr>
        <w:footnoteRef/>
      </w:r>
      <w:r>
        <w:t xml:space="preserve"> Ibid. 35–36.</w:t>
      </w:r>
    </w:p>
  </w:footnote>
  <w:footnote w:id="26">
    <w:p w14:paraId="29E850E3" w14:textId="54C7A7E4" w:rsidR="000C76D6" w:rsidRPr="00B03EE0" w:rsidRDefault="000C76D6" w:rsidP="002D094E">
      <w:pPr>
        <w:pStyle w:val="FootnoteText"/>
        <w:spacing w:line="360" w:lineRule="auto"/>
        <w:ind w:left="567" w:hanging="567"/>
      </w:pPr>
      <w:r w:rsidRPr="00B03EE0">
        <w:rPr>
          <w:rStyle w:val="FootnoteReference"/>
        </w:rPr>
        <w:footnoteRef/>
      </w:r>
      <w:r w:rsidRPr="00B03EE0">
        <w:t xml:space="preserve"> Wood, </w:t>
      </w:r>
      <w:r w:rsidRPr="00B03EE0">
        <w:rPr>
          <w:i/>
        </w:rPr>
        <w:t>Norman Domestic Architecture</w:t>
      </w:r>
      <w:r w:rsidRPr="00B03EE0">
        <w:t xml:space="preserve">, 25; D. </w:t>
      </w:r>
      <w:proofErr w:type="spellStart"/>
      <w:r w:rsidRPr="00B03EE0">
        <w:t>Verey</w:t>
      </w:r>
      <w:proofErr w:type="spellEnd"/>
      <w:r w:rsidRPr="00B03EE0">
        <w:t xml:space="preserve">, </w:t>
      </w:r>
      <w:r w:rsidRPr="00B03EE0">
        <w:rPr>
          <w:i/>
        </w:rPr>
        <w:t>The Buildings of England.</w:t>
      </w:r>
      <w:r w:rsidRPr="00B03EE0">
        <w:t xml:space="preserve"> </w:t>
      </w:r>
      <w:r w:rsidRPr="00B03EE0">
        <w:rPr>
          <w:i/>
        </w:rPr>
        <w:t>Gloucestershire: The Cotswolds</w:t>
      </w:r>
      <w:r w:rsidRPr="00B03EE0">
        <w:t xml:space="preserve"> (Harmondsworth, 1970), 278.</w:t>
      </w:r>
    </w:p>
  </w:footnote>
  <w:footnote w:id="27">
    <w:p w14:paraId="5073D474" w14:textId="3A3203E3" w:rsidR="000C76D6" w:rsidRPr="00B03EE0" w:rsidRDefault="000C76D6" w:rsidP="002D094E">
      <w:pPr>
        <w:spacing w:line="360" w:lineRule="auto"/>
        <w:ind w:left="567" w:hanging="567"/>
        <w:rPr>
          <w:sz w:val="20"/>
        </w:rPr>
      </w:pPr>
      <w:r w:rsidRPr="00B03EE0">
        <w:rPr>
          <w:rStyle w:val="FootnoteReference"/>
          <w:sz w:val="20"/>
        </w:rPr>
        <w:footnoteRef/>
      </w:r>
      <w:r w:rsidRPr="00B03EE0">
        <w:rPr>
          <w:sz w:val="20"/>
        </w:rPr>
        <w:t xml:space="preserve"> </w:t>
      </w:r>
      <w:r>
        <w:rPr>
          <w:sz w:val="20"/>
        </w:rPr>
        <w:t xml:space="preserve">D. </w:t>
      </w:r>
      <w:proofErr w:type="spellStart"/>
      <w:r>
        <w:rPr>
          <w:sz w:val="20"/>
        </w:rPr>
        <w:t>Verey</w:t>
      </w:r>
      <w:proofErr w:type="spellEnd"/>
      <w:r w:rsidRPr="00B03EE0">
        <w:rPr>
          <w:sz w:val="20"/>
        </w:rPr>
        <w:t xml:space="preserve"> and </w:t>
      </w:r>
      <w:r>
        <w:rPr>
          <w:sz w:val="20"/>
        </w:rPr>
        <w:t xml:space="preserve">A. </w:t>
      </w:r>
      <w:r w:rsidRPr="00B03EE0">
        <w:rPr>
          <w:sz w:val="20"/>
        </w:rPr>
        <w:t xml:space="preserve">Brooks, </w:t>
      </w:r>
      <w:r w:rsidRPr="00B03EE0">
        <w:rPr>
          <w:i/>
          <w:sz w:val="20"/>
        </w:rPr>
        <w:t>The Buildings of England.</w:t>
      </w:r>
      <w:r w:rsidRPr="00B03EE0">
        <w:rPr>
          <w:sz w:val="20"/>
        </w:rPr>
        <w:t xml:space="preserve"> </w:t>
      </w:r>
      <w:r w:rsidRPr="00B03EE0">
        <w:rPr>
          <w:i/>
          <w:sz w:val="20"/>
        </w:rPr>
        <w:t>Gloucestershire I: The Cotswolds</w:t>
      </w:r>
      <w:r>
        <w:rPr>
          <w:sz w:val="20"/>
        </w:rPr>
        <w:t xml:space="preserve"> (London, 1999)</w:t>
      </w:r>
      <w:r w:rsidRPr="00B03EE0">
        <w:rPr>
          <w:sz w:val="20"/>
        </w:rPr>
        <w:t>, 418</w:t>
      </w:r>
      <w:r>
        <w:rPr>
          <w:sz w:val="20"/>
        </w:rPr>
        <w:t>.</w:t>
      </w:r>
    </w:p>
  </w:footnote>
  <w:footnote w:id="28">
    <w:p w14:paraId="06AA44A1" w14:textId="1FD84641" w:rsidR="000C76D6" w:rsidRPr="00B03EE0" w:rsidRDefault="000C76D6" w:rsidP="002D094E">
      <w:pPr>
        <w:pStyle w:val="FootnoteText"/>
        <w:spacing w:line="360" w:lineRule="auto"/>
        <w:ind w:left="567" w:hanging="567"/>
      </w:pPr>
      <w:r w:rsidRPr="00B03EE0">
        <w:rPr>
          <w:rStyle w:val="FootnoteReference"/>
        </w:rPr>
        <w:footnoteRef/>
      </w:r>
      <w:r w:rsidRPr="00B03EE0">
        <w:t xml:space="preserve"> </w:t>
      </w:r>
      <w:r>
        <w:t>R. K. Morris,</w:t>
      </w:r>
      <w:r w:rsidRPr="00B03EE0">
        <w:t xml:space="preserve"> </w:t>
      </w:r>
      <w:r>
        <w:t>‘An English glossary of medieval mouldings: with an introduction to m</w:t>
      </w:r>
      <w:r w:rsidRPr="00B03EE0">
        <w:t>ouldings c. 1040–1240</w:t>
      </w:r>
      <w:r>
        <w:t>’</w:t>
      </w:r>
      <w:r w:rsidRPr="00B03EE0">
        <w:t xml:space="preserve">, </w:t>
      </w:r>
      <w:r w:rsidRPr="00B03EE0">
        <w:rPr>
          <w:i/>
        </w:rPr>
        <w:t>Architec</w:t>
      </w:r>
      <w:r>
        <w:rPr>
          <w:i/>
        </w:rPr>
        <w:t>t.</w:t>
      </w:r>
      <w:r w:rsidRPr="00B03EE0">
        <w:rPr>
          <w:i/>
        </w:rPr>
        <w:t xml:space="preserve"> Hist</w:t>
      </w:r>
      <w:r>
        <w:rPr>
          <w:i/>
        </w:rPr>
        <w:t>.</w:t>
      </w:r>
      <w:r w:rsidRPr="00B03EE0">
        <w:t xml:space="preserve"> </w:t>
      </w:r>
      <w:r w:rsidRPr="007A0F97">
        <w:t xml:space="preserve">35 </w:t>
      </w:r>
      <w:r>
        <w:t>(1992)</w:t>
      </w:r>
      <w:r w:rsidRPr="00B03EE0">
        <w:t>, 5</w:t>
      </w:r>
      <w:r>
        <w:t>.</w:t>
      </w:r>
    </w:p>
  </w:footnote>
  <w:footnote w:id="29">
    <w:p w14:paraId="6A14171A" w14:textId="55C09CE9" w:rsidR="000C76D6" w:rsidRDefault="000C76D6" w:rsidP="00C755EE">
      <w:pPr>
        <w:pStyle w:val="FootnoteText"/>
        <w:spacing w:line="360" w:lineRule="auto"/>
      </w:pPr>
      <w:r>
        <w:rPr>
          <w:rStyle w:val="FootnoteReference"/>
        </w:rPr>
        <w:footnoteRef/>
      </w:r>
      <w:r>
        <w:t xml:space="preserve"> M. Thurlby in Harcourt and Harcourt, </w:t>
      </w:r>
      <w:r w:rsidRPr="003243C6">
        <w:t>‘The Development of Horton Court</w:t>
      </w:r>
      <w:r>
        <w:t xml:space="preserve">’, 68 and </w:t>
      </w:r>
      <w:proofErr w:type="spellStart"/>
      <w:r>
        <w:rPr>
          <w:i/>
        </w:rPr>
        <w:t>pers</w:t>
      </w:r>
      <w:proofErr w:type="spellEnd"/>
      <w:r>
        <w:rPr>
          <w:i/>
        </w:rPr>
        <w:t xml:space="preserve"> </w:t>
      </w:r>
      <w:proofErr w:type="spellStart"/>
      <w:r>
        <w:rPr>
          <w:i/>
        </w:rPr>
        <w:t>comm</w:t>
      </w:r>
      <w:proofErr w:type="spellEnd"/>
      <w:r>
        <w:t xml:space="preserve">; A. Brooks and N Pevsner, </w:t>
      </w:r>
      <w:r>
        <w:rPr>
          <w:i/>
        </w:rPr>
        <w:t xml:space="preserve">The Buildings of England. Worcestershire </w:t>
      </w:r>
      <w:r w:rsidRPr="002911AA">
        <w:t>(London, 2007), 682-3.</w:t>
      </w:r>
    </w:p>
  </w:footnote>
  <w:footnote w:id="30">
    <w:p w14:paraId="2CFD280E" w14:textId="5FE5A7E3" w:rsidR="000C76D6" w:rsidRPr="00634425" w:rsidRDefault="000C76D6">
      <w:pPr>
        <w:pStyle w:val="FootnoteText"/>
      </w:pPr>
      <w:r w:rsidRPr="00634425">
        <w:rPr>
          <w:rStyle w:val="FootnoteReference"/>
        </w:rPr>
        <w:footnoteRef/>
      </w:r>
      <w:r w:rsidRPr="00634425">
        <w:t xml:space="preserve"> </w:t>
      </w:r>
      <w:hyperlink r:id="rId3" w:history="1">
        <w:r w:rsidRPr="00634425">
          <w:rPr>
            <w:rStyle w:val="Hyperlink"/>
            <w:color w:val="auto"/>
            <w:u w:val="none"/>
          </w:rPr>
          <w:t>https://www.crsbi.ac.uk/site/3258/</w:t>
        </w:r>
      </w:hyperlink>
    </w:p>
    <w:p w14:paraId="0A7E1CC7" w14:textId="77777777" w:rsidR="000C76D6" w:rsidRDefault="000C76D6">
      <w:pPr>
        <w:pStyle w:val="FootnoteText"/>
      </w:pPr>
    </w:p>
  </w:footnote>
  <w:footnote w:id="31">
    <w:p w14:paraId="4D1789D6" w14:textId="35729A71" w:rsidR="000C76D6" w:rsidRPr="00B03EE0" w:rsidRDefault="000C76D6" w:rsidP="002D094E">
      <w:pPr>
        <w:pStyle w:val="FootnoteText"/>
        <w:spacing w:line="360" w:lineRule="auto"/>
        <w:ind w:left="567" w:hanging="567"/>
      </w:pPr>
      <w:r w:rsidRPr="00B03EE0">
        <w:rPr>
          <w:rStyle w:val="FootnoteReference"/>
        </w:rPr>
        <w:footnoteRef/>
      </w:r>
      <w:r w:rsidRPr="00B03EE0">
        <w:t xml:space="preserve"> </w:t>
      </w:r>
      <w:r>
        <w:t>J. Walker</w:t>
      </w:r>
      <w:r w:rsidRPr="00EA2DD5">
        <w:t xml:space="preserve"> and </w:t>
      </w:r>
      <w:r>
        <w:t>N. Alcock, ‘The carpentry of a twelfth-century aisled h</w:t>
      </w:r>
      <w:r w:rsidRPr="00EA2DD5">
        <w:t xml:space="preserve">all: </w:t>
      </w:r>
      <w:proofErr w:type="spellStart"/>
      <w:r w:rsidRPr="00EA2DD5">
        <w:t>Burmington</w:t>
      </w:r>
      <w:proofErr w:type="spellEnd"/>
      <w:r w:rsidRPr="00EA2DD5">
        <w:t xml:space="preserve"> Manor, Warwickshire’, </w:t>
      </w:r>
      <w:r w:rsidRPr="00EA2DD5">
        <w:rPr>
          <w:i/>
        </w:rPr>
        <w:t>Vernacular Architect</w:t>
      </w:r>
      <w:r>
        <w:rPr>
          <w:i/>
        </w:rPr>
        <w:t>.</w:t>
      </w:r>
      <w:r w:rsidRPr="00EA2DD5">
        <w:rPr>
          <w:i/>
        </w:rPr>
        <w:t xml:space="preserve"> </w:t>
      </w:r>
      <w:r w:rsidRPr="007A0F97">
        <w:t>48</w:t>
      </w:r>
      <w:r>
        <w:t xml:space="preserve"> (2017), 63–77.</w:t>
      </w:r>
    </w:p>
  </w:footnote>
  <w:footnote w:id="32">
    <w:p w14:paraId="45D90013" w14:textId="0D3DA617" w:rsidR="000C76D6" w:rsidRPr="00B92941" w:rsidRDefault="000C76D6" w:rsidP="002D094E">
      <w:pPr>
        <w:spacing w:line="360" w:lineRule="auto"/>
        <w:ind w:left="567" w:hanging="567"/>
        <w:rPr>
          <w:b/>
          <w:sz w:val="20"/>
        </w:rPr>
      </w:pPr>
      <w:r w:rsidRPr="00B92941">
        <w:rPr>
          <w:rStyle w:val="FootnoteReference"/>
          <w:sz w:val="20"/>
        </w:rPr>
        <w:footnoteRef/>
      </w:r>
      <w:r w:rsidRPr="00B92941">
        <w:rPr>
          <w:sz w:val="20"/>
        </w:rPr>
        <w:t xml:space="preserve"> N. Hill, ‘Hall and chambers; Oakham Castle reconsidered’, </w:t>
      </w:r>
      <w:r w:rsidRPr="00B92941">
        <w:rPr>
          <w:i/>
          <w:sz w:val="20"/>
        </w:rPr>
        <w:t>Antiq</w:t>
      </w:r>
      <w:r>
        <w:rPr>
          <w:i/>
          <w:sz w:val="20"/>
        </w:rPr>
        <w:t>.</w:t>
      </w:r>
      <w:r w:rsidRPr="00B92941">
        <w:rPr>
          <w:i/>
          <w:sz w:val="20"/>
        </w:rPr>
        <w:t xml:space="preserve"> </w:t>
      </w:r>
      <w:proofErr w:type="spellStart"/>
      <w:r w:rsidRPr="00B92941">
        <w:rPr>
          <w:i/>
          <w:sz w:val="20"/>
        </w:rPr>
        <w:t>Jnl</w:t>
      </w:r>
      <w:proofErr w:type="spellEnd"/>
      <w:r>
        <w:rPr>
          <w:i/>
          <w:sz w:val="20"/>
        </w:rPr>
        <w:t>.</w:t>
      </w:r>
      <w:r w:rsidRPr="00B92941">
        <w:rPr>
          <w:sz w:val="20"/>
        </w:rPr>
        <w:t xml:space="preserve"> </w:t>
      </w:r>
      <w:r w:rsidRPr="007A0F97">
        <w:rPr>
          <w:sz w:val="20"/>
        </w:rPr>
        <w:t>93</w:t>
      </w:r>
      <w:r w:rsidRPr="00B92941">
        <w:rPr>
          <w:b/>
          <w:sz w:val="20"/>
        </w:rPr>
        <w:t xml:space="preserve"> </w:t>
      </w:r>
      <w:r w:rsidRPr="00B92941">
        <w:rPr>
          <w:sz w:val="20"/>
        </w:rPr>
        <w:t>(2013),</w:t>
      </w:r>
      <w:r w:rsidRPr="00B92941">
        <w:rPr>
          <w:b/>
          <w:sz w:val="20"/>
        </w:rPr>
        <w:t xml:space="preserve"> </w:t>
      </w:r>
      <w:r w:rsidRPr="00B92941">
        <w:rPr>
          <w:sz w:val="20"/>
        </w:rPr>
        <w:t xml:space="preserve">163–216; N. Hill and M. Gardiner, ‘The English medieval first-floor hall: part 1 – Scolland’s Hall, Richmond, North Yorkshire’, </w:t>
      </w:r>
      <w:r w:rsidRPr="00B92941">
        <w:rPr>
          <w:i/>
          <w:sz w:val="20"/>
        </w:rPr>
        <w:t xml:space="preserve">Archaeological </w:t>
      </w:r>
      <w:r w:rsidRPr="00B92941">
        <w:rPr>
          <w:sz w:val="20"/>
        </w:rPr>
        <w:t xml:space="preserve">Journal </w:t>
      </w:r>
      <w:r w:rsidRPr="007A0F97">
        <w:rPr>
          <w:sz w:val="20"/>
        </w:rPr>
        <w:t xml:space="preserve">175 </w:t>
      </w:r>
      <w:r w:rsidRPr="00B92941">
        <w:rPr>
          <w:sz w:val="20"/>
        </w:rPr>
        <w:t xml:space="preserve">(2017), 157–83; N. Hill and M. Gardiner, ‘The English medieval first-floor hall: part 2 – the evidence from the eleventh to early thirteenth century’, </w:t>
      </w:r>
      <w:proofErr w:type="spellStart"/>
      <w:r w:rsidRPr="00B92941">
        <w:rPr>
          <w:i/>
          <w:sz w:val="20"/>
        </w:rPr>
        <w:t>Archaeol</w:t>
      </w:r>
      <w:proofErr w:type="spellEnd"/>
      <w:r>
        <w:rPr>
          <w:i/>
          <w:sz w:val="20"/>
        </w:rPr>
        <w:t>.</w:t>
      </w:r>
      <w:r w:rsidRPr="00B92941">
        <w:rPr>
          <w:i/>
          <w:sz w:val="20"/>
        </w:rPr>
        <w:t xml:space="preserve"> </w:t>
      </w:r>
      <w:proofErr w:type="spellStart"/>
      <w:r w:rsidRPr="00B92941">
        <w:rPr>
          <w:i/>
          <w:sz w:val="20"/>
        </w:rPr>
        <w:t>Jnl</w:t>
      </w:r>
      <w:proofErr w:type="spellEnd"/>
      <w:r>
        <w:rPr>
          <w:i/>
          <w:sz w:val="20"/>
        </w:rPr>
        <w:t>.</w:t>
      </w:r>
      <w:r w:rsidRPr="007A0F97">
        <w:rPr>
          <w:sz w:val="20"/>
        </w:rPr>
        <w:t xml:space="preserve"> 175</w:t>
      </w:r>
      <w:r w:rsidRPr="00B92941">
        <w:rPr>
          <w:sz w:val="20"/>
        </w:rPr>
        <w:t xml:space="preserve"> (2017), 315–61.</w:t>
      </w:r>
    </w:p>
  </w:footnote>
  <w:footnote w:id="33">
    <w:p w14:paraId="30E4B07F" w14:textId="389F2E92" w:rsidR="000C76D6" w:rsidRPr="00B03EE0" w:rsidRDefault="000C76D6" w:rsidP="002D094E">
      <w:pPr>
        <w:pStyle w:val="FootnoteText"/>
        <w:spacing w:line="360" w:lineRule="auto"/>
        <w:ind w:left="567" w:hanging="567"/>
      </w:pPr>
      <w:r w:rsidRPr="00B03EE0">
        <w:rPr>
          <w:rStyle w:val="FootnoteReference"/>
        </w:rPr>
        <w:footnoteRef/>
      </w:r>
      <w:r w:rsidRPr="00B03EE0">
        <w:t xml:space="preserve"> </w:t>
      </w:r>
      <w:r w:rsidRPr="00B92941">
        <w:t xml:space="preserve">Hill, ‘Hall and </w:t>
      </w:r>
      <w:proofErr w:type="gramStart"/>
      <w:r w:rsidRPr="00B92941">
        <w:t>chambers</w:t>
      </w:r>
      <w:r>
        <w:t>’</w:t>
      </w:r>
      <w:proofErr w:type="gramEnd"/>
      <w:r>
        <w:t>.</w:t>
      </w:r>
    </w:p>
  </w:footnote>
  <w:footnote w:id="34">
    <w:p w14:paraId="36DCC156" w14:textId="2841C8CF" w:rsidR="000C76D6" w:rsidRDefault="000C76D6" w:rsidP="002D094E">
      <w:pPr>
        <w:pStyle w:val="FootnoteText"/>
        <w:spacing w:line="360" w:lineRule="auto"/>
        <w:ind w:left="567" w:hanging="567"/>
      </w:pPr>
      <w:r>
        <w:rPr>
          <w:rStyle w:val="FootnoteReference"/>
        </w:rPr>
        <w:footnoteRef/>
      </w:r>
      <w:r w:rsidRPr="00422F8E">
        <w:t xml:space="preserve"> </w:t>
      </w:r>
      <w:r>
        <w:t xml:space="preserve">J. </w:t>
      </w:r>
      <w:r w:rsidRPr="00B03EE0">
        <w:t>Walker</w:t>
      </w:r>
      <w:r>
        <w:t xml:space="preserve">, ‘Late-twelfth and early-thirteenth-century aisled buildings: a comparison’, </w:t>
      </w:r>
      <w:r>
        <w:rPr>
          <w:i/>
        </w:rPr>
        <w:t>Vernacular Architect.</w:t>
      </w:r>
      <w:r w:rsidRPr="007A0F97">
        <w:rPr>
          <w:i/>
        </w:rPr>
        <w:t xml:space="preserve"> </w:t>
      </w:r>
      <w:r w:rsidRPr="007A0F97">
        <w:t>30</w:t>
      </w:r>
      <w:r>
        <w:rPr>
          <w:b/>
        </w:rPr>
        <w:t xml:space="preserve"> </w:t>
      </w:r>
      <w:r>
        <w:t>(</w:t>
      </w:r>
      <w:r w:rsidRPr="00B03EE0">
        <w:t>1999</w:t>
      </w:r>
      <w:r>
        <w:t>), 52</w:t>
      </w:r>
    </w:p>
  </w:footnote>
  <w:footnote w:id="35">
    <w:p w14:paraId="4DF1C33A" w14:textId="588B0A8F" w:rsidR="000C76D6" w:rsidRDefault="000C76D6" w:rsidP="002D094E">
      <w:pPr>
        <w:pStyle w:val="FootnoteText"/>
        <w:spacing w:line="360" w:lineRule="auto"/>
        <w:ind w:left="567" w:hanging="567"/>
      </w:pPr>
      <w:r>
        <w:rPr>
          <w:rStyle w:val="FootnoteReference"/>
        </w:rPr>
        <w:footnoteRef/>
      </w:r>
      <w:r>
        <w:t xml:space="preserve"> E. Impey</w:t>
      </w:r>
      <w:r w:rsidRPr="00422F8E">
        <w:t xml:space="preserve"> and </w:t>
      </w:r>
      <w:r>
        <w:t>R. Harris, 2002. ‘Boothby Pagnell r</w:t>
      </w:r>
      <w:r w:rsidRPr="00422F8E">
        <w:t>evisited’, in G</w:t>
      </w:r>
      <w:r>
        <w:t>.</w:t>
      </w:r>
      <w:r w:rsidRPr="00422F8E">
        <w:t xml:space="preserve"> </w:t>
      </w:r>
      <w:proofErr w:type="spellStart"/>
      <w:r w:rsidRPr="00422F8E">
        <w:t>Meirion</w:t>
      </w:r>
      <w:proofErr w:type="spellEnd"/>
      <w:r w:rsidRPr="00422F8E">
        <w:t>-Jones, E</w:t>
      </w:r>
      <w:r>
        <w:t>.</w:t>
      </w:r>
      <w:r w:rsidRPr="00422F8E">
        <w:t xml:space="preserve"> Impey and M</w:t>
      </w:r>
      <w:r>
        <w:t>.</w:t>
      </w:r>
      <w:r w:rsidRPr="00422F8E">
        <w:t xml:space="preserve"> Jones</w:t>
      </w:r>
      <w:r>
        <w:t xml:space="preserve"> (ed.),</w:t>
      </w:r>
      <w:r w:rsidRPr="00422F8E">
        <w:t xml:space="preserve"> </w:t>
      </w:r>
      <w:r w:rsidRPr="00422F8E">
        <w:rPr>
          <w:i/>
        </w:rPr>
        <w:t>The Seigneurial Residence in Western Europe AD c800-1600</w:t>
      </w:r>
      <w:r>
        <w:t xml:space="preserve">, </w:t>
      </w:r>
      <w:r w:rsidRPr="00422F8E">
        <w:t>British Archaeological Reports, I</w:t>
      </w:r>
      <w:r>
        <w:t>nternational Series 1088, (Oxford, 2002),</w:t>
      </w:r>
      <w:r w:rsidRPr="00422F8E">
        <w:t xml:space="preserve"> </w:t>
      </w:r>
      <w:r>
        <w:t>245–</w:t>
      </w:r>
      <w:r w:rsidRPr="00422F8E">
        <w:t xml:space="preserve">69, </w:t>
      </w:r>
      <w:r>
        <w:t xml:space="preserve">J. Grenville, </w:t>
      </w:r>
      <w:r>
        <w:rPr>
          <w:i/>
        </w:rPr>
        <w:t>Medieval Housing</w:t>
      </w:r>
      <w:r>
        <w:t xml:space="preserve"> (London, 1997), 73–75.</w:t>
      </w:r>
    </w:p>
  </w:footnote>
  <w:footnote w:id="36">
    <w:p w14:paraId="56C17120" w14:textId="1933A0B0" w:rsidR="000C76D6" w:rsidRDefault="000C76D6" w:rsidP="002D094E">
      <w:pPr>
        <w:pStyle w:val="FootnoteText"/>
        <w:spacing w:line="360" w:lineRule="auto"/>
        <w:ind w:left="567" w:hanging="567"/>
      </w:pPr>
      <w:r>
        <w:rPr>
          <w:rStyle w:val="FootnoteReference"/>
        </w:rPr>
        <w:footnoteRef/>
      </w:r>
      <w:r>
        <w:t xml:space="preserve"> For opposing doorways in churches, see </w:t>
      </w:r>
      <w:r w:rsidRPr="00422F8E">
        <w:t>F</w:t>
      </w:r>
      <w:r>
        <w:t>.</w:t>
      </w:r>
      <w:r w:rsidRPr="00422F8E">
        <w:t>H</w:t>
      </w:r>
      <w:r>
        <w:t>.</w:t>
      </w:r>
      <w:r w:rsidRPr="00422F8E">
        <w:t xml:space="preserve"> Fairweather, </w:t>
      </w:r>
      <w:r w:rsidRPr="00422F8E">
        <w:rPr>
          <w:i/>
        </w:rPr>
        <w:t>Aisleless Apsidal Churches of Great Britain</w:t>
      </w:r>
      <w:r w:rsidRPr="00422F8E">
        <w:t xml:space="preserve"> </w:t>
      </w:r>
      <w:r>
        <w:t>(Colchester, 1933), 21.</w:t>
      </w:r>
    </w:p>
  </w:footnote>
  <w:footnote w:id="37">
    <w:p w14:paraId="4EDB70BF" w14:textId="4FE7E7EB" w:rsidR="000C76D6" w:rsidRDefault="000C76D6" w:rsidP="002D094E">
      <w:pPr>
        <w:pStyle w:val="FootnoteText"/>
        <w:spacing w:line="360" w:lineRule="auto"/>
        <w:ind w:left="567" w:hanging="567"/>
      </w:pPr>
      <w:r>
        <w:rPr>
          <w:rStyle w:val="FootnoteReference"/>
        </w:rPr>
        <w:footnoteRef/>
      </w:r>
      <w:r>
        <w:t xml:space="preserve"> Walker and Alcock, ‘The carpentry of a twelfth-century aisled h</w:t>
      </w:r>
      <w:r w:rsidRPr="00EA2DD5">
        <w:t>all</w:t>
      </w:r>
      <w:r>
        <w:t>’, 63.</w:t>
      </w:r>
    </w:p>
  </w:footnote>
  <w:footnote w:id="38">
    <w:p w14:paraId="28C4E4DA" w14:textId="11D6ECDE" w:rsidR="000C76D6" w:rsidRDefault="000C76D6" w:rsidP="002D094E">
      <w:pPr>
        <w:pStyle w:val="FootnoteText"/>
        <w:spacing w:line="360" w:lineRule="auto"/>
        <w:ind w:left="567" w:hanging="567"/>
      </w:pPr>
      <w:r>
        <w:rPr>
          <w:rStyle w:val="FootnoteReference"/>
        </w:rPr>
        <w:footnoteRef/>
      </w:r>
      <w:r>
        <w:t xml:space="preserve"> T.</w:t>
      </w:r>
      <w:r w:rsidRPr="00422F8E">
        <w:t xml:space="preserve">H. Turner, </w:t>
      </w:r>
      <w:r w:rsidRPr="00422F8E">
        <w:rPr>
          <w:i/>
        </w:rPr>
        <w:t>Some Account of Domestic Architecture in England, From the Conquest to the End of the Thirteenth Century</w:t>
      </w:r>
      <w:r w:rsidRPr="00422F8E">
        <w:t xml:space="preserve"> </w:t>
      </w:r>
      <w:r>
        <w:t>(</w:t>
      </w:r>
      <w:r w:rsidRPr="00422F8E">
        <w:t>London</w:t>
      </w:r>
      <w:r>
        <w:t>, 1851), 43–5; P.</w:t>
      </w:r>
      <w:r w:rsidRPr="004B5824">
        <w:t>K</w:t>
      </w:r>
      <w:r>
        <w:t>.</w:t>
      </w:r>
      <w:r w:rsidRPr="004B5824">
        <w:t xml:space="preserve"> Kipps, </w:t>
      </w:r>
      <w:r>
        <w:t>‘</w:t>
      </w:r>
      <w:r w:rsidRPr="004B5824">
        <w:t>Minster Court,</w:t>
      </w:r>
      <w:r>
        <w:t xml:space="preserve"> Thanet’, </w:t>
      </w:r>
      <w:proofErr w:type="spellStart"/>
      <w:r w:rsidRPr="004B5824">
        <w:rPr>
          <w:i/>
        </w:rPr>
        <w:t>Archaeol</w:t>
      </w:r>
      <w:proofErr w:type="spellEnd"/>
      <w:r>
        <w:rPr>
          <w:i/>
        </w:rPr>
        <w:t>.</w:t>
      </w:r>
      <w:r w:rsidRPr="004B5824">
        <w:rPr>
          <w:i/>
        </w:rPr>
        <w:t xml:space="preserve"> </w:t>
      </w:r>
      <w:proofErr w:type="spellStart"/>
      <w:r w:rsidRPr="004B5824">
        <w:rPr>
          <w:i/>
        </w:rPr>
        <w:t>Jnl</w:t>
      </w:r>
      <w:proofErr w:type="spellEnd"/>
      <w:r>
        <w:rPr>
          <w:i/>
        </w:rPr>
        <w:t>.</w:t>
      </w:r>
      <w:r w:rsidRPr="007A0F97">
        <w:t xml:space="preserve"> 86</w:t>
      </w:r>
      <w:r>
        <w:t xml:space="preserve"> (1929), 216–19.</w:t>
      </w:r>
    </w:p>
  </w:footnote>
  <w:footnote w:id="39">
    <w:p w14:paraId="53811FB5" w14:textId="20913A66" w:rsidR="000C76D6" w:rsidRPr="004B5824" w:rsidRDefault="000C76D6" w:rsidP="002D094E">
      <w:pPr>
        <w:spacing w:line="360" w:lineRule="auto"/>
        <w:ind w:left="567" w:hanging="567"/>
        <w:rPr>
          <w:sz w:val="20"/>
        </w:rPr>
      </w:pPr>
      <w:r w:rsidRPr="004B5824">
        <w:rPr>
          <w:rStyle w:val="FootnoteReference"/>
          <w:sz w:val="20"/>
        </w:rPr>
        <w:footnoteRef/>
      </w:r>
      <w:r w:rsidRPr="004B5824">
        <w:rPr>
          <w:sz w:val="20"/>
        </w:rPr>
        <w:t xml:space="preserve"> J. Bond, D. Clarke, J. Har</w:t>
      </w:r>
      <w:r>
        <w:rPr>
          <w:sz w:val="20"/>
        </w:rPr>
        <w:t>rison and T. Rowley, ‘Appleton M</w:t>
      </w:r>
      <w:r w:rsidRPr="004B5824">
        <w:rPr>
          <w:sz w:val="20"/>
        </w:rPr>
        <w:t xml:space="preserve">anor: “A </w:t>
      </w:r>
      <w:r>
        <w:rPr>
          <w:sz w:val="20"/>
        </w:rPr>
        <w:t>m</w:t>
      </w:r>
      <w:r w:rsidRPr="004B5824">
        <w:rPr>
          <w:sz w:val="20"/>
        </w:rPr>
        <w:t xml:space="preserve">ost </w:t>
      </w:r>
      <w:r>
        <w:rPr>
          <w:sz w:val="20"/>
        </w:rPr>
        <w:t>r</w:t>
      </w:r>
      <w:r w:rsidRPr="004B5824">
        <w:rPr>
          <w:sz w:val="20"/>
        </w:rPr>
        <w:t xml:space="preserve">emarkable </w:t>
      </w:r>
      <w:r>
        <w:rPr>
          <w:sz w:val="20"/>
        </w:rPr>
        <w:t>m</w:t>
      </w:r>
      <w:r w:rsidRPr="004B5824">
        <w:rPr>
          <w:sz w:val="20"/>
        </w:rPr>
        <w:t xml:space="preserve">ansion”’, </w:t>
      </w:r>
      <w:proofErr w:type="spellStart"/>
      <w:r w:rsidRPr="004B5824">
        <w:rPr>
          <w:i/>
          <w:sz w:val="20"/>
        </w:rPr>
        <w:t>Oxoniensia</w:t>
      </w:r>
      <w:proofErr w:type="spellEnd"/>
      <w:r w:rsidRPr="004B5824">
        <w:rPr>
          <w:sz w:val="20"/>
        </w:rPr>
        <w:t xml:space="preserve"> </w:t>
      </w:r>
      <w:r w:rsidRPr="007A0F97">
        <w:rPr>
          <w:sz w:val="20"/>
        </w:rPr>
        <w:t>82</w:t>
      </w:r>
      <w:r w:rsidRPr="004B5824">
        <w:rPr>
          <w:b/>
          <w:sz w:val="20"/>
        </w:rPr>
        <w:t xml:space="preserve"> </w:t>
      </w:r>
      <w:r w:rsidRPr="004B5824">
        <w:rPr>
          <w:sz w:val="20"/>
        </w:rPr>
        <w:t xml:space="preserve">(2017), 1–34; </w:t>
      </w:r>
      <w:r>
        <w:rPr>
          <w:sz w:val="20"/>
        </w:rPr>
        <w:t>N.</w:t>
      </w:r>
      <w:r w:rsidRPr="004B5824">
        <w:rPr>
          <w:sz w:val="20"/>
        </w:rPr>
        <w:t xml:space="preserve"> Hill, </w:t>
      </w:r>
      <w:r>
        <w:rPr>
          <w:sz w:val="20"/>
        </w:rPr>
        <w:t xml:space="preserve">M. </w:t>
      </w:r>
      <w:r w:rsidRPr="004B5824">
        <w:rPr>
          <w:sz w:val="20"/>
        </w:rPr>
        <w:t xml:space="preserve">Gardiner and </w:t>
      </w:r>
      <w:r>
        <w:rPr>
          <w:sz w:val="20"/>
        </w:rPr>
        <w:t xml:space="preserve">J. </w:t>
      </w:r>
      <w:proofErr w:type="spellStart"/>
      <w:r w:rsidRPr="004B5824">
        <w:rPr>
          <w:sz w:val="20"/>
        </w:rPr>
        <w:t>Baile</w:t>
      </w:r>
      <w:proofErr w:type="spellEnd"/>
      <w:r>
        <w:rPr>
          <w:sz w:val="20"/>
        </w:rPr>
        <w:t>, ‘</w:t>
      </w:r>
      <w:proofErr w:type="spellStart"/>
      <w:r>
        <w:rPr>
          <w:sz w:val="20"/>
        </w:rPr>
        <w:t>Nassington</w:t>
      </w:r>
      <w:proofErr w:type="spellEnd"/>
      <w:r>
        <w:rPr>
          <w:sz w:val="20"/>
        </w:rPr>
        <w:t xml:space="preserve"> Prebendal Manor’,</w:t>
      </w:r>
      <w:r w:rsidRPr="004B5824">
        <w:rPr>
          <w:sz w:val="20"/>
        </w:rPr>
        <w:t xml:space="preserve"> in preparation</w:t>
      </w:r>
      <w:r>
        <w:rPr>
          <w:sz w:val="20"/>
        </w:rPr>
        <w:t>.</w:t>
      </w:r>
    </w:p>
  </w:footnote>
  <w:footnote w:id="40">
    <w:p w14:paraId="1BAA582B" w14:textId="2F00FEAA" w:rsidR="000C76D6" w:rsidRDefault="000C76D6" w:rsidP="002D094E">
      <w:pPr>
        <w:pStyle w:val="FootnoteText"/>
        <w:spacing w:line="360" w:lineRule="auto"/>
      </w:pPr>
      <w:r>
        <w:rPr>
          <w:rStyle w:val="FootnoteReference"/>
        </w:rPr>
        <w:footnoteRef/>
      </w:r>
      <w:r>
        <w:t xml:space="preserve"> Harcourt and Harcourt, </w:t>
      </w:r>
      <w:r w:rsidRPr="003243C6">
        <w:t>‘The Development of Horton Court</w:t>
      </w:r>
      <w:r>
        <w:t>’, appendix 2;</w:t>
      </w:r>
      <w:r w:rsidR="00634425" w:rsidRPr="00634425">
        <w:t xml:space="preserve"> N</w:t>
      </w:r>
      <w:r w:rsidR="00634425">
        <w:t>.</w:t>
      </w:r>
      <w:r w:rsidR="00634425" w:rsidRPr="00634425">
        <w:t xml:space="preserve"> </w:t>
      </w:r>
      <w:proofErr w:type="spellStart"/>
      <w:r w:rsidR="00634425" w:rsidRPr="00634425">
        <w:t>Alcock</w:t>
      </w:r>
      <w:proofErr w:type="spellEnd"/>
      <w:r w:rsidR="00634425">
        <w:t xml:space="preserve"> and</w:t>
      </w:r>
      <w:r w:rsidR="00634425" w:rsidRPr="00634425">
        <w:t xml:space="preserve"> C</w:t>
      </w:r>
      <w:r w:rsidR="00634425">
        <w:t>.</w:t>
      </w:r>
      <w:r w:rsidR="00634425" w:rsidRPr="00634425">
        <w:t xml:space="preserve"> </w:t>
      </w:r>
      <w:proofErr w:type="spellStart"/>
      <w:r w:rsidR="00634425" w:rsidRPr="00634425">
        <w:t>Tyers</w:t>
      </w:r>
      <w:proofErr w:type="spellEnd"/>
      <w:r w:rsidR="00634425">
        <w:t xml:space="preserve">, </w:t>
      </w:r>
      <w:r w:rsidR="00CB0A51">
        <w:t>‘</w:t>
      </w:r>
      <w:r w:rsidR="00634425">
        <w:t>Tree-ring date lists 2018</w:t>
      </w:r>
      <w:r w:rsidR="00CB0A51">
        <w:t xml:space="preserve">’, </w:t>
      </w:r>
      <w:r w:rsidR="00634425" w:rsidRPr="00CB0A51">
        <w:rPr>
          <w:i/>
        </w:rPr>
        <w:t>Vernacular Architecture</w:t>
      </w:r>
      <w:r w:rsidR="00CB0A51">
        <w:t xml:space="preserve"> </w:t>
      </w:r>
      <w:r w:rsidR="00634425" w:rsidRPr="00634425">
        <w:t>49</w:t>
      </w:r>
      <w:r w:rsidR="00CB0A51">
        <w:t xml:space="preserve"> (2018)</w:t>
      </w:r>
      <w:r w:rsidR="00634425" w:rsidRPr="00634425">
        <w:t>, 1</w:t>
      </w:r>
      <w:r w:rsidR="00CB0A51">
        <w:t>38–38</w:t>
      </w:r>
      <w:r>
        <w:t>.</w:t>
      </w:r>
    </w:p>
  </w:footnote>
  <w:footnote w:id="41">
    <w:p w14:paraId="407F755D" w14:textId="77F4864A" w:rsidR="000C76D6" w:rsidRDefault="000C76D6" w:rsidP="002D094E">
      <w:pPr>
        <w:pStyle w:val="FootnoteText"/>
        <w:spacing w:line="360" w:lineRule="auto"/>
      </w:pPr>
      <w:r>
        <w:rPr>
          <w:rStyle w:val="FootnoteReference"/>
        </w:rPr>
        <w:footnoteRef/>
      </w:r>
      <w:r>
        <w:t xml:space="preserve"> N. </w:t>
      </w:r>
      <w:r w:rsidRPr="00055FB3">
        <w:t>Hill</w:t>
      </w:r>
      <w:r>
        <w:t>,</w:t>
      </w:r>
      <w:r w:rsidRPr="00055FB3">
        <w:t xml:space="preserve"> </w:t>
      </w:r>
      <w:r>
        <w:t xml:space="preserve">M. </w:t>
      </w:r>
      <w:r w:rsidRPr="00055FB3">
        <w:t xml:space="preserve">Gardiner </w:t>
      </w:r>
      <w:r>
        <w:t xml:space="preserve">and J. </w:t>
      </w:r>
      <w:proofErr w:type="spellStart"/>
      <w:r>
        <w:t>Baile</w:t>
      </w:r>
      <w:proofErr w:type="spellEnd"/>
      <w:r>
        <w:t>, ‘</w:t>
      </w:r>
      <w:proofErr w:type="spellStart"/>
      <w:r>
        <w:t>Nassington</w:t>
      </w:r>
      <w:proofErr w:type="spellEnd"/>
      <w:r>
        <w:t xml:space="preserve"> Prebendal Manor’, in preparation.</w:t>
      </w:r>
    </w:p>
  </w:footnote>
  <w:footnote w:id="42">
    <w:p w14:paraId="7105354C" w14:textId="77777777" w:rsidR="000C76D6" w:rsidRDefault="000C76D6" w:rsidP="002D094E">
      <w:pPr>
        <w:pStyle w:val="FootnoteText"/>
        <w:spacing w:line="360" w:lineRule="auto"/>
        <w:ind w:left="567" w:hanging="567"/>
      </w:pPr>
      <w:r>
        <w:rPr>
          <w:rStyle w:val="FootnoteReference"/>
        </w:rPr>
        <w:footnoteRef/>
      </w:r>
      <w:r>
        <w:t xml:space="preserve"> John Blair, pers. comm. </w:t>
      </w:r>
    </w:p>
  </w:footnote>
  <w:footnote w:id="43">
    <w:p w14:paraId="475503A1" w14:textId="1F94EA06" w:rsidR="000C76D6" w:rsidRDefault="000C76D6" w:rsidP="002D094E">
      <w:pPr>
        <w:pStyle w:val="FootnoteText"/>
        <w:spacing w:line="360" w:lineRule="auto"/>
        <w:ind w:left="567" w:hanging="567"/>
      </w:pPr>
      <w:r>
        <w:rPr>
          <w:rStyle w:val="FootnoteReference"/>
        </w:rPr>
        <w:footnoteRef/>
      </w:r>
      <w:r>
        <w:t xml:space="preserve"> Brit. </w:t>
      </w:r>
      <w:proofErr w:type="spellStart"/>
      <w:r>
        <w:t>Libr</w:t>
      </w:r>
      <w:proofErr w:type="spellEnd"/>
      <w:r>
        <w:t>., Add. MS 36362, f. 260.</w:t>
      </w:r>
    </w:p>
  </w:footnote>
  <w:footnote w:id="44">
    <w:p w14:paraId="2ED27543" w14:textId="4B91375E" w:rsidR="000C76D6" w:rsidRDefault="000C76D6" w:rsidP="002D094E">
      <w:pPr>
        <w:pStyle w:val="FootnoteText"/>
        <w:spacing w:line="360" w:lineRule="auto"/>
        <w:ind w:left="567" w:hanging="567"/>
      </w:pPr>
      <w:r>
        <w:rPr>
          <w:rStyle w:val="FootnoteReference"/>
        </w:rPr>
        <w:footnoteRef/>
      </w:r>
      <w:r>
        <w:t xml:space="preserve"> The Sarum Customary Online website at </w:t>
      </w:r>
      <w:hyperlink r:id="rId4" w:history="1">
        <w:r w:rsidRPr="002362D8">
          <w:rPr>
            <w:rStyle w:val="Hyperlink"/>
            <w:color w:val="auto"/>
            <w:u w:val="none"/>
          </w:rPr>
          <w:t>www.sarumcustomary.org.uk</w:t>
        </w:r>
      </w:hyperlink>
      <w:r w:rsidRPr="002362D8">
        <w:t xml:space="preserve"> </w:t>
      </w:r>
      <w:r>
        <w:t xml:space="preserve">(accessed on </w:t>
      </w:r>
      <w:r w:rsidRPr="004B5824">
        <w:t xml:space="preserve">9 September </w:t>
      </w:r>
      <w:r>
        <w:t>2018).</w:t>
      </w:r>
    </w:p>
  </w:footnote>
  <w:footnote w:id="45">
    <w:p w14:paraId="5AE96687" w14:textId="574EB0B4" w:rsidR="000C76D6" w:rsidRPr="00352010" w:rsidRDefault="000C76D6" w:rsidP="002D094E">
      <w:pPr>
        <w:pStyle w:val="FootnoteText"/>
        <w:spacing w:line="360" w:lineRule="auto"/>
        <w:ind w:left="567" w:hanging="567"/>
      </w:pPr>
      <w:r>
        <w:rPr>
          <w:rStyle w:val="FootnoteReference"/>
        </w:rPr>
        <w:footnoteRef/>
      </w:r>
      <w:r>
        <w:t xml:space="preserve"> J. Harper, C. Hodgkinson, M. Cheung Salisbury,</w:t>
      </w:r>
      <w:r w:rsidRPr="004B5824">
        <w:t xml:space="preserve"> and </w:t>
      </w:r>
      <w:r>
        <w:t>H. Howard,</w:t>
      </w:r>
      <w:r w:rsidRPr="004B5824">
        <w:t xml:space="preserve"> </w:t>
      </w:r>
      <w:r>
        <w:t>‘</w:t>
      </w:r>
      <w:r w:rsidRPr="004B5824">
        <w:t>The New Customary from Oxford, Corpus Christi College MS 44 (Latin)</w:t>
      </w:r>
      <w:r>
        <w:t>’,</w:t>
      </w:r>
      <w:r w:rsidRPr="004B5824">
        <w:t xml:space="preserve"> </w:t>
      </w:r>
      <w:r>
        <w:t>s.65, p.29</w:t>
      </w:r>
      <w:r w:rsidRPr="002362D8">
        <w:t xml:space="preserve"> (</w:t>
      </w:r>
      <w:hyperlink r:id="rId5" w:history="1">
        <w:r w:rsidRPr="002362D8">
          <w:rPr>
            <w:rStyle w:val="Hyperlink"/>
            <w:color w:val="auto"/>
            <w:u w:val="none"/>
          </w:rPr>
          <w:t>www.sarumcustomary.org.uk</w:t>
        </w:r>
      </w:hyperlink>
      <w:r>
        <w:t xml:space="preserve">). The Horton inscription contains two minor errors in comparison with the manuscript source, having </w:t>
      </w:r>
      <w:r>
        <w:rPr>
          <w:i/>
        </w:rPr>
        <w:t>sancta</w:t>
      </w:r>
      <w:r>
        <w:t xml:space="preserve"> at the beginning rather than at the end, and with </w:t>
      </w:r>
      <w:proofErr w:type="spellStart"/>
      <w:r w:rsidRPr="007665C0">
        <w:rPr>
          <w:i/>
        </w:rPr>
        <w:t>confirmat</w:t>
      </w:r>
      <w:proofErr w:type="spellEnd"/>
      <w:r>
        <w:t xml:space="preserve"> rather than </w:t>
      </w:r>
      <w:proofErr w:type="spellStart"/>
      <w:r w:rsidRPr="007665C0">
        <w:rPr>
          <w:i/>
        </w:rPr>
        <w:t>confirmet</w:t>
      </w:r>
      <w:proofErr w:type="spellEnd"/>
      <w:r>
        <w:t xml:space="preserve">. </w:t>
      </w:r>
    </w:p>
  </w:footnote>
  <w:footnote w:id="46">
    <w:p w14:paraId="470F250E" w14:textId="23B483F7" w:rsidR="000C76D6" w:rsidRDefault="000C76D6" w:rsidP="002D094E">
      <w:pPr>
        <w:pStyle w:val="FootnoteText"/>
        <w:spacing w:line="360" w:lineRule="auto"/>
        <w:ind w:left="567" w:hanging="567"/>
      </w:pPr>
      <w:r>
        <w:rPr>
          <w:rStyle w:val="FootnoteReference"/>
        </w:rPr>
        <w:footnoteRef/>
      </w:r>
      <w:r>
        <w:t xml:space="preserve"> J. Harper, C. Hodgkinson, M. Cheung Salisbury,</w:t>
      </w:r>
      <w:r w:rsidRPr="004B5824">
        <w:t xml:space="preserve"> and </w:t>
      </w:r>
      <w:r>
        <w:t>H. Howard,</w:t>
      </w:r>
      <w:r w:rsidRPr="004B5824">
        <w:t xml:space="preserve"> </w:t>
      </w:r>
      <w:r>
        <w:t>‘</w:t>
      </w:r>
      <w:r w:rsidRPr="002362D8">
        <w:t>The Old Customary from British Library, Harley MS 1001 (Latin)</w:t>
      </w:r>
      <w:r>
        <w:t xml:space="preserve">’, s.122.1, p. 58 and p. 59 </w:t>
      </w:r>
      <w:r w:rsidRPr="002362D8">
        <w:t>(</w:t>
      </w:r>
      <w:hyperlink r:id="rId6" w:history="1">
        <w:r w:rsidRPr="002362D8">
          <w:rPr>
            <w:rStyle w:val="Hyperlink"/>
            <w:color w:val="auto"/>
            <w:u w:val="none"/>
          </w:rPr>
          <w:t>www.sarumcustomary.org.uk</w:t>
        </w:r>
      </w:hyperlink>
      <w:r>
        <w:t>).</w:t>
      </w:r>
    </w:p>
  </w:footnote>
  <w:footnote w:id="47">
    <w:p w14:paraId="01EE71F3" w14:textId="0E5430BA" w:rsidR="000C76D6" w:rsidRDefault="000C76D6" w:rsidP="002D094E">
      <w:pPr>
        <w:pStyle w:val="FootnoteText"/>
        <w:spacing w:line="360" w:lineRule="auto"/>
        <w:ind w:left="567" w:hanging="567"/>
      </w:pPr>
      <w:r>
        <w:rPr>
          <w:rStyle w:val="FootnoteReference"/>
        </w:rPr>
        <w:footnoteRef/>
      </w:r>
      <w:r>
        <w:t xml:space="preserve"> J. </w:t>
      </w:r>
      <w:r w:rsidRPr="002362D8">
        <w:t>Bertram, ‘Medieval inscripti</w:t>
      </w:r>
      <w:r>
        <w:t xml:space="preserve">ons in Oxfordshire’, </w:t>
      </w:r>
      <w:proofErr w:type="spellStart"/>
      <w:r w:rsidRPr="00021A2D">
        <w:rPr>
          <w:i/>
        </w:rPr>
        <w:t>Oxoniensia</w:t>
      </w:r>
      <w:proofErr w:type="spellEnd"/>
      <w:r w:rsidRPr="00021A2D">
        <w:rPr>
          <w:i/>
        </w:rPr>
        <w:t xml:space="preserve"> </w:t>
      </w:r>
      <w:r w:rsidRPr="007A0F97">
        <w:t>68</w:t>
      </w:r>
      <w:r>
        <w:t xml:space="preserve"> (2003), 29.</w:t>
      </w:r>
    </w:p>
  </w:footnote>
  <w:footnote w:id="48">
    <w:p w14:paraId="2B0D6606" w14:textId="67177368" w:rsidR="000C76D6" w:rsidRDefault="000C76D6" w:rsidP="002D094E">
      <w:pPr>
        <w:pStyle w:val="FootnoteText"/>
        <w:spacing w:line="360" w:lineRule="auto"/>
      </w:pPr>
      <w:r>
        <w:rPr>
          <w:rStyle w:val="FootnoteReference"/>
        </w:rPr>
        <w:footnoteRef/>
      </w:r>
      <w:r>
        <w:t xml:space="preserve"> C.R.C. </w:t>
      </w:r>
      <w:r w:rsidRPr="00021A2D">
        <w:t xml:space="preserve">Currie, ‘Larger </w:t>
      </w:r>
      <w:r>
        <w:t>m</w:t>
      </w:r>
      <w:r w:rsidRPr="00021A2D">
        <w:t xml:space="preserve">edieval </w:t>
      </w:r>
      <w:r>
        <w:t>h</w:t>
      </w:r>
      <w:r w:rsidRPr="00021A2D">
        <w:t xml:space="preserve">ouses in the Vale of White Horse’, </w:t>
      </w:r>
      <w:proofErr w:type="spellStart"/>
      <w:r w:rsidRPr="00021A2D">
        <w:rPr>
          <w:i/>
        </w:rPr>
        <w:t>Oxoniensia</w:t>
      </w:r>
      <w:proofErr w:type="spellEnd"/>
      <w:r w:rsidRPr="00021A2D">
        <w:t xml:space="preserve"> </w:t>
      </w:r>
      <w:r w:rsidRPr="007A0F97">
        <w:t>57</w:t>
      </w:r>
      <w:r>
        <w:t xml:space="preserve"> (1992), 212–14.</w:t>
      </w:r>
    </w:p>
  </w:footnote>
  <w:footnote w:id="49">
    <w:p w14:paraId="5C04A077" w14:textId="079238A5" w:rsidR="000C76D6" w:rsidRDefault="000C76D6" w:rsidP="00A66744">
      <w:pPr>
        <w:pStyle w:val="FootnoteText"/>
        <w:spacing w:line="360" w:lineRule="auto"/>
      </w:pPr>
      <w:bookmarkStart w:id="0" w:name="_GoBack"/>
      <w:r>
        <w:rPr>
          <w:rStyle w:val="FootnoteReference"/>
        </w:rPr>
        <w:footnoteRef/>
      </w:r>
      <w:r>
        <w:t xml:space="preserve"> Harcourt and Harcourt, </w:t>
      </w:r>
      <w:r w:rsidRPr="003243C6">
        <w:t>‘The Development of Horton Court</w:t>
      </w:r>
      <w:r>
        <w:t>’, 67</w:t>
      </w:r>
      <w:bookmarkEnd w:id="0"/>
    </w:p>
  </w:footnote>
  <w:footnote w:id="50">
    <w:p w14:paraId="5CB04C9D" w14:textId="048283BE" w:rsidR="000C76D6" w:rsidRPr="00593A21" w:rsidRDefault="000C76D6" w:rsidP="00A66744">
      <w:pPr>
        <w:pStyle w:val="FootnoteText"/>
        <w:spacing w:line="360" w:lineRule="auto"/>
      </w:pPr>
      <w:r>
        <w:rPr>
          <w:rStyle w:val="FootnoteReference"/>
        </w:rPr>
        <w:footnoteRef/>
      </w:r>
      <w:r>
        <w:t xml:space="preserve"> See F. H. Fairweather </w:t>
      </w:r>
      <w:r>
        <w:rPr>
          <w:i/>
        </w:rPr>
        <w:t>Aisleless Apsidal Churches of Great Britain</w:t>
      </w:r>
      <w:r>
        <w:t xml:space="preserve"> (Colchester, 1933).</w:t>
      </w:r>
    </w:p>
  </w:footnote>
  <w:footnote w:id="51">
    <w:p w14:paraId="32CCBB12" w14:textId="4E9205D0" w:rsidR="000C76D6" w:rsidRDefault="000C76D6" w:rsidP="00A66744">
      <w:pPr>
        <w:pStyle w:val="FootnoteText"/>
        <w:spacing w:line="360" w:lineRule="auto"/>
      </w:pPr>
      <w:r>
        <w:rPr>
          <w:rStyle w:val="FootnoteReference"/>
        </w:rPr>
        <w:footnoteRef/>
      </w:r>
      <w:r>
        <w:t xml:space="preserve"> RCHME </w:t>
      </w:r>
      <w:r>
        <w:rPr>
          <w:i/>
        </w:rPr>
        <w:t>Dorset III, Part I</w:t>
      </w:r>
      <w:r>
        <w:t xml:space="preserve"> (Edinburgh, 1970), 5. </w:t>
      </w:r>
    </w:p>
    <w:p w14:paraId="1C0A34A3" w14:textId="77777777" w:rsidR="000C76D6" w:rsidRPr="00D24F94" w:rsidRDefault="000C76D6">
      <w:pPr>
        <w:pStyle w:val="FootnoteText"/>
      </w:pPr>
    </w:p>
  </w:footnote>
  <w:footnote w:id="52">
    <w:p w14:paraId="06A262CE" w14:textId="5282A459" w:rsidR="000C76D6" w:rsidRDefault="000C76D6" w:rsidP="002D094E">
      <w:pPr>
        <w:pStyle w:val="FootnoteText"/>
        <w:spacing w:line="360" w:lineRule="auto"/>
      </w:pPr>
      <w:r>
        <w:rPr>
          <w:rStyle w:val="FootnoteReference"/>
        </w:rPr>
        <w:footnoteRef/>
      </w:r>
      <w:r>
        <w:t xml:space="preserve"> N. </w:t>
      </w:r>
      <w:r w:rsidRPr="00021A2D">
        <w:t xml:space="preserve">Orme, </w:t>
      </w:r>
      <w:r>
        <w:t>‘</w:t>
      </w:r>
      <w:r w:rsidRPr="00021A2D">
        <w:t xml:space="preserve">The </w:t>
      </w:r>
      <w:r>
        <w:t>o</w:t>
      </w:r>
      <w:r w:rsidRPr="00021A2D">
        <w:t xml:space="preserve">ther </w:t>
      </w:r>
      <w:r>
        <w:t>p</w:t>
      </w:r>
      <w:r w:rsidRPr="00021A2D">
        <w:t xml:space="preserve">arish </w:t>
      </w:r>
      <w:r>
        <w:t>c</w:t>
      </w:r>
      <w:r w:rsidRPr="00021A2D">
        <w:t xml:space="preserve">hurches: </w:t>
      </w:r>
      <w:r>
        <w:t>c</w:t>
      </w:r>
      <w:r w:rsidRPr="00021A2D">
        <w:t xml:space="preserve">hapels in </w:t>
      </w:r>
      <w:r>
        <w:t>l</w:t>
      </w:r>
      <w:r w:rsidRPr="00021A2D">
        <w:t>ate-</w:t>
      </w:r>
      <w:r>
        <w:t>m</w:t>
      </w:r>
      <w:r w:rsidRPr="00021A2D">
        <w:t>edieval England</w:t>
      </w:r>
      <w:r>
        <w:t>’</w:t>
      </w:r>
      <w:r w:rsidRPr="00021A2D">
        <w:t>, in C</w:t>
      </w:r>
      <w:r>
        <w:t>.</w:t>
      </w:r>
      <w:r w:rsidRPr="00021A2D">
        <w:t xml:space="preserve"> Burgess and E</w:t>
      </w:r>
      <w:r>
        <w:t>.</w:t>
      </w:r>
      <w:r w:rsidRPr="00021A2D">
        <w:t xml:space="preserve"> Duffy</w:t>
      </w:r>
      <w:r>
        <w:t xml:space="preserve"> (ed.), </w:t>
      </w:r>
      <w:r w:rsidRPr="00021A2D">
        <w:rPr>
          <w:i/>
        </w:rPr>
        <w:t>The Parish in Late Medieval England: Proceedings of the 2002 Harlaxton Symposium</w:t>
      </w:r>
      <w:r w:rsidRPr="00021A2D">
        <w:t xml:space="preserve"> </w:t>
      </w:r>
      <w:r>
        <w:t>(</w:t>
      </w:r>
      <w:proofErr w:type="spellStart"/>
      <w:r>
        <w:t>Donington</w:t>
      </w:r>
      <w:proofErr w:type="spellEnd"/>
      <w:r>
        <w:t>, 2006), 80.</w:t>
      </w:r>
    </w:p>
  </w:footnote>
  <w:footnote w:id="53">
    <w:p w14:paraId="4388ACA4" w14:textId="78336823" w:rsidR="000C76D6" w:rsidRPr="00021A2D" w:rsidRDefault="000C76D6" w:rsidP="002D094E">
      <w:pPr>
        <w:spacing w:line="360" w:lineRule="auto"/>
        <w:ind w:left="567" w:hanging="567"/>
        <w:rPr>
          <w:sz w:val="20"/>
        </w:rPr>
      </w:pPr>
      <w:r>
        <w:rPr>
          <w:rStyle w:val="FootnoteReference"/>
        </w:rPr>
        <w:footnoteRef/>
      </w:r>
      <w:r>
        <w:t xml:space="preserve"> </w:t>
      </w:r>
      <w:r w:rsidRPr="00021A2D">
        <w:rPr>
          <w:sz w:val="20"/>
        </w:rPr>
        <w:t xml:space="preserve">D.M. Owen </w:t>
      </w:r>
      <w:r w:rsidRPr="00021A2D">
        <w:rPr>
          <w:i/>
          <w:sz w:val="20"/>
        </w:rPr>
        <w:t>Church and Society in Medieval Lincolnshire</w:t>
      </w:r>
      <w:r>
        <w:rPr>
          <w:sz w:val="20"/>
        </w:rPr>
        <w:t xml:space="preserve"> (</w:t>
      </w:r>
      <w:r w:rsidRPr="00021A2D">
        <w:rPr>
          <w:sz w:val="20"/>
        </w:rPr>
        <w:t>Lincoln</w:t>
      </w:r>
      <w:r>
        <w:rPr>
          <w:sz w:val="20"/>
        </w:rPr>
        <w:t>, 1971)</w:t>
      </w:r>
      <w:r w:rsidRPr="00021A2D">
        <w:rPr>
          <w:sz w:val="20"/>
        </w:rPr>
        <w:t>, 18</w:t>
      </w:r>
      <w:r>
        <w:rPr>
          <w:sz w:val="20"/>
        </w:rPr>
        <w:t>–</w:t>
      </w:r>
      <w:r w:rsidRPr="00021A2D">
        <w:rPr>
          <w:sz w:val="20"/>
        </w:rPr>
        <w:t>19, 26</w:t>
      </w:r>
      <w:r>
        <w:rPr>
          <w:sz w:val="20"/>
        </w:rPr>
        <w:t>.</w:t>
      </w:r>
    </w:p>
  </w:footnote>
  <w:footnote w:id="54">
    <w:p w14:paraId="7657ACAF" w14:textId="148E2FA8" w:rsidR="000C76D6" w:rsidRDefault="000C76D6" w:rsidP="002D094E">
      <w:pPr>
        <w:pStyle w:val="FootnoteText"/>
        <w:spacing w:line="360" w:lineRule="auto"/>
      </w:pPr>
      <w:r>
        <w:rPr>
          <w:rStyle w:val="FootnoteReference"/>
        </w:rPr>
        <w:footnoteRef/>
      </w:r>
      <w:r>
        <w:t xml:space="preserve"> </w:t>
      </w:r>
      <w:r w:rsidRPr="00021A2D">
        <w:t xml:space="preserve">Orme, </w:t>
      </w:r>
      <w:r>
        <w:t>‘</w:t>
      </w:r>
      <w:r w:rsidRPr="00021A2D">
        <w:t xml:space="preserve">The </w:t>
      </w:r>
      <w:r>
        <w:t>o</w:t>
      </w:r>
      <w:r w:rsidRPr="00021A2D">
        <w:t xml:space="preserve">ther </w:t>
      </w:r>
      <w:r>
        <w:t>p</w:t>
      </w:r>
      <w:r w:rsidRPr="00021A2D">
        <w:t xml:space="preserve">arish </w:t>
      </w:r>
      <w:r>
        <w:t>c</w:t>
      </w:r>
      <w:r w:rsidRPr="00021A2D">
        <w:t>hurches</w:t>
      </w:r>
      <w:r>
        <w:t>, 87.</w:t>
      </w:r>
    </w:p>
  </w:footnote>
  <w:footnote w:id="55">
    <w:p w14:paraId="73435D8F" w14:textId="06EA2DA8" w:rsidR="000C76D6" w:rsidRDefault="000C76D6" w:rsidP="002D094E">
      <w:pPr>
        <w:pStyle w:val="FootnoteText"/>
        <w:spacing w:line="360" w:lineRule="auto"/>
      </w:pPr>
      <w:r>
        <w:rPr>
          <w:rStyle w:val="FootnoteReference"/>
        </w:rPr>
        <w:footnoteRef/>
      </w:r>
      <w:r>
        <w:t xml:space="preserve"> A. Hussey, ‘Chapels in Kent’, </w:t>
      </w:r>
      <w:proofErr w:type="spellStart"/>
      <w:r>
        <w:rPr>
          <w:i/>
        </w:rPr>
        <w:t>Archaeologia</w:t>
      </w:r>
      <w:proofErr w:type="spellEnd"/>
      <w:r>
        <w:rPr>
          <w:i/>
        </w:rPr>
        <w:t xml:space="preserve"> </w:t>
      </w:r>
      <w:proofErr w:type="spellStart"/>
      <w:r>
        <w:rPr>
          <w:i/>
        </w:rPr>
        <w:t>Cantiana</w:t>
      </w:r>
      <w:proofErr w:type="spellEnd"/>
      <w:r>
        <w:rPr>
          <w:i/>
        </w:rPr>
        <w:t xml:space="preserve"> </w:t>
      </w:r>
      <w:r w:rsidRPr="007A0F97">
        <w:t>29</w:t>
      </w:r>
      <w:r>
        <w:t xml:space="preserve"> (1911),</w:t>
      </w:r>
      <w:r w:rsidRPr="00021A2D">
        <w:t xml:space="preserve"> </w:t>
      </w:r>
      <w:r>
        <w:t>234, 246, 247.</w:t>
      </w:r>
    </w:p>
  </w:footnote>
  <w:footnote w:id="56">
    <w:p w14:paraId="11BE57C0" w14:textId="5B1C205F" w:rsidR="000C76D6" w:rsidRPr="00021A2D" w:rsidRDefault="000C76D6" w:rsidP="002D094E">
      <w:pPr>
        <w:spacing w:line="360" w:lineRule="auto"/>
        <w:rPr>
          <w:sz w:val="20"/>
        </w:rPr>
      </w:pPr>
      <w:r w:rsidRPr="00021A2D">
        <w:rPr>
          <w:rStyle w:val="FootnoteReference"/>
          <w:sz w:val="20"/>
        </w:rPr>
        <w:footnoteRef/>
      </w:r>
      <w:r w:rsidRPr="00021A2D">
        <w:rPr>
          <w:sz w:val="20"/>
        </w:rPr>
        <w:t xml:space="preserve"> M. Wood, </w:t>
      </w:r>
      <w:r w:rsidRPr="00021A2D">
        <w:rPr>
          <w:i/>
          <w:sz w:val="20"/>
        </w:rPr>
        <w:t>The English Mediaeval House</w:t>
      </w:r>
      <w:r w:rsidRPr="00021A2D">
        <w:rPr>
          <w:sz w:val="20"/>
        </w:rPr>
        <w:t xml:space="preserve"> (London, 1965), 227–46; N. Orme, ‘Church and chapel in medieval England’, </w:t>
      </w:r>
      <w:r w:rsidRPr="00021A2D">
        <w:rPr>
          <w:i/>
          <w:sz w:val="20"/>
        </w:rPr>
        <w:t>Trans</w:t>
      </w:r>
      <w:r>
        <w:rPr>
          <w:i/>
          <w:sz w:val="20"/>
        </w:rPr>
        <w:t>.</w:t>
      </w:r>
      <w:r w:rsidRPr="00021A2D">
        <w:rPr>
          <w:i/>
          <w:sz w:val="20"/>
        </w:rPr>
        <w:t xml:space="preserve"> of the Royal Hist</w:t>
      </w:r>
      <w:r>
        <w:rPr>
          <w:i/>
          <w:sz w:val="20"/>
        </w:rPr>
        <w:t>.</w:t>
      </w:r>
      <w:r w:rsidRPr="00021A2D">
        <w:rPr>
          <w:i/>
          <w:sz w:val="20"/>
        </w:rPr>
        <w:t xml:space="preserve"> Soc</w:t>
      </w:r>
      <w:r>
        <w:rPr>
          <w:i/>
          <w:sz w:val="20"/>
        </w:rPr>
        <w:t>.</w:t>
      </w:r>
      <w:r w:rsidRPr="00021A2D">
        <w:rPr>
          <w:sz w:val="20"/>
        </w:rPr>
        <w:t>,</w:t>
      </w:r>
      <w:r w:rsidRPr="00021A2D">
        <w:rPr>
          <w:i/>
          <w:sz w:val="20"/>
        </w:rPr>
        <w:t xml:space="preserve"> </w:t>
      </w:r>
      <w:r w:rsidRPr="00021A2D">
        <w:rPr>
          <w:sz w:val="20"/>
        </w:rPr>
        <w:t xml:space="preserve">5th series, </w:t>
      </w:r>
      <w:r w:rsidRPr="00277904">
        <w:rPr>
          <w:sz w:val="20"/>
        </w:rPr>
        <w:t>6</w:t>
      </w:r>
      <w:r w:rsidRPr="00021A2D">
        <w:rPr>
          <w:sz w:val="20"/>
        </w:rPr>
        <w:t xml:space="preserve"> (1996), 82, 84; </w:t>
      </w:r>
      <w:r>
        <w:rPr>
          <w:sz w:val="20"/>
        </w:rPr>
        <w:t xml:space="preserve">D. </w:t>
      </w:r>
      <w:r w:rsidRPr="00021A2D">
        <w:rPr>
          <w:sz w:val="20"/>
        </w:rPr>
        <w:t xml:space="preserve">Crouch, </w:t>
      </w:r>
      <w:r>
        <w:rPr>
          <w:sz w:val="20"/>
        </w:rPr>
        <w:t>‘</w:t>
      </w:r>
      <w:r w:rsidRPr="00021A2D">
        <w:rPr>
          <w:sz w:val="20"/>
        </w:rPr>
        <w:t xml:space="preserve">The </w:t>
      </w:r>
      <w:r>
        <w:rPr>
          <w:sz w:val="20"/>
        </w:rPr>
        <w:t>o</w:t>
      </w:r>
      <w:r w:rsidRPr="00021A2D">
        <w:rPr>
          <w:sz w:val="20"/>
        </w:rPr>
        <w:t xml:space="preserve">rigin of </w:t>
      </w:r>
      <w:r>
        <w:rPr>
          <w:sz w:val="20"/>
        </w:rPr>
        <w:t>c</w:t>
      </w:r>
      <w:r w:rsidRPr="00021A2D">
        <w:rPr>
          <w:sz w:val="20"/>
        </w:rPr>
        <w:t xml:space="preserve">hantries: </w:t>
      </w:r>
      <w:r>
        <w:rPr>
          <w:sz w:val="20"/>
        </w:rPr>
        <w:t>s</w:t>
      </w:r>
      <w:r w:rsidRPr="00021A2D">
        <w:rPr>
          <w:sz w:val="20"/>
        </w:rPr>
        <w:t xml:space="preserve">ome </w:t>
      </w:r>
      <w:r>
        <w:rPr>
          <w:sz w:val="20"/>
        </w:rPr>
        <w:t>f</w:t>
      </w:r>
      <w:r w:rsidRPr="00021A2D">
        <w:rPr>
          <w:sz w:val="20"/>
        </w:rPr>
        <w:t>urther Anglo-Norman</w:t>
      </w:r>
      <w:r>
        <w:rPr>
          <w:sz w:val="20"/>
        </w:rPr>
        <w:t xml:space="preserve"> e</w:t>
      </w:r>
      <w:r w:rsidRPr="00021A2D">
        <w:rPr>
          <w:sz w:val="20"/>
        </w:rPr>
        <w:t>vidence</w:t>
      </w:r>
      <w:r>
        <w:rPr>
          <w:sz w:val="20"/>
        </w:rPr>
        <w:t>’</w:t>
      </w:r>
      <w:r w:rsidRPr="00021A2D">
        <w:rPr>
          <w:sz w:val="20"/>
        </w:rPr>
        <w:t xml:space="preserve">, </w:t>
      </w:r>
      <w:proofErr w:type="spellStart"/>
      <w:r w:rsidRPr="003A10E8">
        <w:rPr>
          <w:i/>
          <w:sz w:val="20"/>
        </w:rPr>
        <w:t>Jnl</w:t>
      </w:r>
      <w:proofErr w:type="spellEnd"/>
      <w:r>
        <w:rPr>
          <w:i/>
          <w:sz w:val="20"/>
        </w:rPr>
        <w:t>.</w:t>
      </w:r>
      <w:r w:rsidRPr="003A10E8">
        <w:rPr>
          <w:i/>
          <w:sz w:val="20"/>
        </w:rPr>
        <w:t xml:space="preserve"> of Medieval Hist</w:t>
      </w:r>
      <w:r w:rsidRPr="007A0F97">
        <w:rPr>
          <w:i/>
          <w:sz w:val="20"/>
        </w:rPr>
        <w:t>.</w:t>
      </w:r>
      <w:r w:rsidRPr="007A0F97">
        <w:rPr>
          <w:sz w:val="20"/>
        </w:rPr>
        <w:t xml:space="preserve"> 27</w:t>
      </w:r>
      <w:r w:rsidRPr="00021A2D">
        <w:rPr>
          <w:sz w:val="20"/>
        </w:rPr>
        <w:t xml:space="preserve"> (2) </w:t>
      </w:r>
      <w:r>
        <w:rPr>
          <w:sz w:val="20"/>
        </w:rPr>
        <w:t>(</w:t>
      </w:r>
      <w:r w:rsidRPr="00021A2D">
        <w:rPr>
          <w:sz w:val="20"/>
        </w:rPr>
        <w:t>2001</w:t>
      </w:r>
      <w:r>
        <w:rPr>
          <w:sz w:val="20"/>
        </w:rPr>
        <w:t>)</w:t>
      </w:r>
      <w:r w:rsidRPr="00021A2D">
        <w:rPr>
          <w:sz w:val="20"/>
        </w:rPr>
        <w:t>, 175</w:t>
      </w:r>
      <w:r>
        <w:rPr>
          <w:sz w:val="20"/>
        </w:rPr>
        <w:t>.</w:t>
      </w:r>
    </w:p>
  </w:footnote>
  <w:footnote w:id="57">
    <w:p w14:paraId="16E6361E" w14:textId="689B6924" w:rsidR="000C76D6" w:rsidRDefault="000C76D6" w:rsidP="002D094E">
      <w:pPr>
        <w:pStyle w:val="FootnoteText"/>
        <w:spacing w:line="360" w:lineRule="auto"/>
      </w:pPr>
      <w:r>
        <w:rPr>
          <w:rStyle w:val="FootnoteReference"/>
        </w:rPr>
        <w:footnoteRef/>
      </w:r>
      <w:r>
        <w:t xml:space="preserve"> </w:t>
      </w:r>
      <w:r w:rsidRPr="003A10E8">
        <w:t>G</w:t>
      </w:r>
      <w:r>
        <w:t>.</w:t>
      </w:r>
      <w:r w:rsidRPr="003A10E8">
        <w:t xml:space="preserve"> </w:t>
      </w:r>
      <w:r>
        <w:t>Byng</w:t>
      </w:r>
      <w:r w:rsidRPr="003A10E8">
        <w:t xml:space="preserve">, </w:t>
      </w:r>
      <w:r>
        <w:t>‘</w:t>
      </w:r>
      <w:r w:rsidRPr="003A10E8">
        <w:t xml:space="preserve">The Southchurch </w:t>
      </w:r>
      <w:r>
        <w:t>c</w:t>
      </w:r>
      <w:r w:rsidRPr="003A10E8">
        <w:t xml:space="preserve">hapel and the </w:t>
      </w:r>
      <w:r>
        <w:t>e</w:t>
      </w:r>
      <w:r w:rsidRPr="003A10E8">
        <w:t xml:space="preserve">arliest </w:t>
      </w:r>
      <w:r>
        <w:t>b</w:t>
      </w:r>
      <w:r w:rsidRPr="003A10E8">
        <w:t xml:space="preserve">uilding </w:t>
      </w:r>
      <w:r>
        <w:t>c</w:t>
      </w:r>
      <w:r w:rsidRPr="003A10E8">
        <w:t xml:space="preserve">ontract in England, </w:t>
      </w:r>
      <w:proofErr w:type="spellStart"/>
      <w:r w:rsidRPr="003A10E8">
        <w:rPr>
          <w:i/>
        </w:rPr>
        <w:t>Jnl</w:t>
      </w:r>
      <w:proofErr w:type="spellEnd"/>
      <w:r>
        <w:rPr>
          <w:i/>
        </w:rPr>
        <w:t>.</w:t>
      </w:r>
      <w:r w:rsidRPr="003A10E8">
        <w:rPr>
          <w:i/>
        </w:rPr>
        <w:t xml:space="preserve"> of the Brit</w:t>
      </w:r>
      <w:r>
        <w:rPr>
          <w:i/>
        </w:rPr>
        <w:t xml:space="preserve">. </w:t>
      </w:r>
      <w:proofErr w:type="spellStart"/>
      <w:r w:rsidRPr="003A10E8">
        <w:rPr>
          <w:i/>
        </w:rPr>
        <w:t>Archaeol</w:t>
      </w:r>
      <w:proofErr w:type="spellEnd"/>
      <w:r>
        <w:rPr>
          <w:i/>
        </w:rPr>
        <w:t>.</w:t>
      </w:r>
      <w:r w:rsidRPr="003A10E8">
        <w:rPr>
          <w:i/>
        </w:rPr>
        <w:t xml:space="preserve"> Assoc</w:t>
      </w:r>
      <w:r>
        <w:rPr>
          <w:i/>
        </w:rPr>
        <w:t>.</w:t>
      </w:r>
      <w:r w:rsidRPr="007A0F97">
        <w:t xml:space="preserve"> 168</w:t>
      </w:r>
      <w:r w:rsidRPr="003A10E8">
        <w:t xml:space="preserve"> </w:t>
      </w:r>
      <w:r>
        <w:t>(</w:t>
      </w:r>
      <w:r w:rsidRPr="003A10E8">
        <w:t>2015</w:t>
      </w:r>
      <w:r>
        <w:t xml:space="preserve">), </w:t>
      </w:r>
      <w:r w:rsidRPr="003A10E8">
        <w:t>131–41</w:t>
      </w:r>
      <w:r>
        <w:t>.</w:t>
      </w:r>
    </w:p>
  </w:footnote>
  <w:footnote w:id="58">
    <w:p w14:paraId="06419268" w14:textId="6E9B7377" w:rsidR="000C76D6" w:rsidRDefault="000C76D6" w:rsidP="002D094E">
      <w:pPr>
        <w:pStyle w:val="FootnoteText"/>
        <w:spacing w:line="360" w:lineRule="auto"/>
      </w:pPr>
      <w:r>
        <w:rPr>
          <w:rStyle w:val="FootnoteReference"/>
        </w:rPr>
        <w:footnoteRef/>
      </w:r>
      <w:r>
        <w:t xml:space="preserve"> The income from the parish church in the late 13th century went to Salisbury (see above), and it is likely that the living was held by the prebendary at an earlier date.</w:t>
      </w:r>
    </w:p>
  </w:footnote>
  <w:footnote w:id="59">
    <w:p w14:paraId="230703B0" w14:textId="0860E086" w:rsidR="000C76D6" w:rsidRDefault="000C76D6" w:rsidP="002D094E">
      <w:pPr>
        <w:pStyle w:val="FootnoteText"/>
        <w:spacing w:line="360" w:lineRule="auto"/>
      </w:pPr>
      <w:r>
        <w:rPr>
          <w:rStyle w:val="FootnoteReference"/>
        </w:rPr>
        <w:footnoteRef/>
      </w:r>
      <w:r>
        <w:t xml:space="preserve"> Fairweather, </w:t>
      </w:r>
      <w:r w:rsidRPr="00AD1F5F">
        <w:rPr>
          <w:i/>
        </w:rPr>
        <w:t>Aisleless Apsidal Churches of Great Britain</w:t>
      </w:r>
      <w:r>
        <w:t>, 5–7.</w:t>
      </w:r>
    </w:p>
  </w:footnote>
  <w:footnote w:id="60">
    <w:p w14:paraId="78431272" w14:textId="603A0187" w:rsidR="000C76D6" w:rsidRDefault="000C76D6" w:rsidP="002D094E">
      <w:pPr>
        <w:pStyle w:val="FootnoteText"/>
        <w:spacing w:line="360" w:lineRule="auto"/>
      </w:pPr>
      <w:r>
        <w:rPr>
          <w:rStyle w:val="FootnoteReference"/>
        </w:rPr>
        <w:footnoteRef/>
      </w:r>
      <w:r>
        <w:t xml:space="preserve"> Harcourt and Harcourt, </w:t>
      </w:r>
      <w:r w:rsidRPr="003243C6">
        <w:t>‘The Development of Horton Court</w:t>
      </w:r>
      <w:r>
        <w:t>’, 70.</w:t>
      </w:r>
    </w:p>
  </w:footnote>
  <w:footnote w:id="61">
    <w:p w14:paraId="34670CE5" w14:textId="1BF51543" w:rsidR="000C76D6" w:rsidRDefault="000C76D6" w:rsidP="002D094E">
      <w:pPr>
        <w:pStyle w:val="FootnoteText"/>
        <w:spacing w:line="360" w:lineRule="auto"/>
        <w:ind w:left="567" w:hanging="567"/>
      </w:pPr>
      <w:r>
        <w:rPr>
          <w:rStyle w:val="FootnoteReference"/>
        </w:rPr>
        <w:footnoteRef/>
      </w:r>
      <w:r>
        <w:t xml:space="preserve"> Wood. </w:t>
      </w:r>
      <w:r>
        <w:rPr>
          <w:i/>
        </w:rPr>
        <w:t>The Mediaeval House</w:t>
      </w:r>
      <w:r>
        <w:t>, 231.</w:t>
      </w:r>
    </w:p>
  </w:footnote>
  <w:footnote w:id="62">
    <w:p w14:paraId="269FD2CF" w14:textId="247E4A4C" w:rsidR="000C76D6" w:rsidRDefault="000C76D6" w:rsidP="002D094E">
      <w:pPr>
        <w:pStyle w:val="FootnoteText"/>
        <w:spacing w:line="360" w:lineRule="auto"/>
        <w:ind w:left="567" w:hanging="567"/>
      </w:pPr>
      <w:r>
        <w:rPr>
          <w:rStyle w:val="FootnoteReference"/>
        </w:rPr>
        <w:footnoteRef/>
      </w:r>
      <w:r>
        <w:t xml:space="preserve"> Details observed by the Harcourts (</w:t>
      </w:r>
      <w:r w:rsidRPr="003243C6">
        <w:t>‘The Development of Horton Court</w:t>
      </w:r>
      <w:r>
        <w:t>’, 173–90), with scaffold access.</w:t>
      </w:r>
    </w:p>
  </w:footnote>
  <w:footnote w:id="63">
    <w:p w14:paraId="63B41E96" w14:textId="080E37C6" w:rsidR="000C76D6" w:rsidRDefault="000C76D6" w:rsidP="002D094E">
      <w:pPr>
        <w:pStyle w:val="FootnoteText"/>
        <w:spacing w:line="360" w:lineRule="auto"/>
        <w:ind w:left="567" w:hanging="567"/>
      </w:pPr>
      <w:r>
        <w:rPr>
          <w:rStyle w:val="FootnoteReference"/>
        </w:rPr>
        <w:footnoteRef/>
      </w:r>
      <w:r>
        <w:t xml:space="preserve"> Harcourt and Harcourt, </w:t>
      </w:r>
      <w:r w:rsidRPr="003243C6">
        <w:t>‘The Development of Horton Court</w:t>
      </w:r>
      <w:r>
        <w:t>’, 175.</w:t>
      </w:r>
    </w:p>
  </w:footnote>
  <w:footnote w:id="64">
    <w:p w14:paraId="0181A907" w14:textId="770240AF" w:rsidR="000C76D6" w:rsidRPr="00E204CB" w:rsidRDefault="000C76D6" w:rsidP="002D094E">
      <w:pPr>
        <w:pStyle w:val="FootnoteText"/>
        <w:spacing w:line="360" w:lineRule="auto"/>
        <w:ind w:left="567" w:hanging="567"/>
      </w:pPr>
      <w:r w:rsidRPr="004C1633">
        <w:rPr>
          <w:rStyle w:val="FootnoteReference"/>
        </w:rPr>
        <w:footnoteRef/>
      </w:r>
      <w:r w:rsidRPr="004C1633">
        <w:t xml:space="preserve"> </w:t>
      </w:r>
      <w:r>
        <w:t xml:space="preserve">C. </w:t>
      </w:r>
      <w:r w:rsidRPr="004C1633">
        <w:t xml:space="preserve">Ross, </w:t>
      </w:r>
      <w:r w:rsidRPr="004C1633">
        <w:rPr>
          <w:i/>
        </w:rPr>
        <w:t xml:space="preserve">The Canons of Salisbury: A Record of the Dignitaries, Prebendaries and Office Holders and their place in the Quire of Salisbury Cathedral </w:t>
      </w:r>
      <w:r w:rsidRPr="004C1633">
        <w:t>(</w:t>
      </w:r>
      <w:r>
        <w:t xml:space="preserve">Salisbury, </w:t>
      </w:r>
      <w:r w:rsidRPr="004C1633">
        <w:t>2000).</w:t>
      </w:r>
    </w:p>
  </w:footnote>
  <w:footnote w:id="65">
    <w:p w14:paraId="60A28B99" w14:textId="02E59D2B" w:rsidR="000C76D6" w:rsidRPr="00AD1F5F" w:rsidRDefault="000C76D6" w:rsidP="002D094E">
      <w:pPr>
        <w:spacing w:line="360" w:lineRule="auto"/>
        <w:ind w:left="567" w:hanging="567"/>
        <w:rPr>
          <w:sz w:val="20"/>
        </w:rPr>
      </w:pPr>
      <w:r w:rsidRPr="00AD1F5F">
        <w:rPr>
          <w:rStyle w:val="FootnoteReference"/>
          <w:sz w:val="20"/>
        </w:rPr>
        <w:footnoteRef/>
      </w:r>
      <w:r w:rsidRPr="00AD1F5F">
        <w:rPr>
          <w:sz w:val="20"/>
        </w:rPr>
        <w:t xml:space="preserve"> J. </w:t>
      </w:r>
      <w:proofErr w:type="spellStart"/>
      <w:r w:rsidRPr="00AD1F5F">
        <w:rPr>
          <w:rFonts w:eastAsia="Cambria"/>
          <w:sz w:val="20"/>
        </w:rPr>
        <w:t>Fendley</w:t>
      </w:r>
      <w:proofErr w:type="spellEnd"/>
      <w:r w:rsidRPr="00AD1F5F">
        <w:rPr>
          <w:rFonts w:eastAsia="Cambria"/>
          <w:sz w:val="20"/>
        </w:rPr>
        <w:t xml:space="preserve">, </w:t>
      </w:r>
      <w:r>
        <w:rPr>
          <w:rFonts w:eastAsia="Cambria"/>
          <w:sz w:val="20"/>
        </w:rPr>
        <w:t>‘</w:t>
      </w:r>
      <w:r w:rsidRPr="00AD1F5F">
        <w:rPr>
          <w:rFonts w:eastAsia="Cambria"/>
          <w:sz w:val="20"/>
        </w:rPr>
        <w:t xml:space="preserve">The </w:t>
      </w:r>
      <w:proofErr w:type="spellStart"/>
      <w:r w:rsidRPr="00AD1F5F">
        <w:rPr>
          <w:rFonts w:eastAsia="Cambria"/>
          <w:sz w:val="20"/>
        </w:rPr>
        <w:t>Pastons</w:t>
      </w:r>
      <w:proofErr w:type="spellEnd"/>
      <w:r w:rsidRPr="00AD1F5F">
        <w:rPr>
          <w:rFonts w:eastAsia="Cambria"/>
          <w:sz w:val="20"/>
        </w:rPr>
        <w:t xml:space="preserve"> of Horton and the Horton Court </w:t>
      </w:r>
      <w:r>
        <w:rPr>
          <w:rFonts w:eastAsia="Cambria"/>
          <w:sz w:val="20"/>
        </w:rPr>
        <w:t>l</w:t>
      </w:r>
      <w:r w:rsidRPr="00AD1F5F">
        <w:rPr>
          <w:rFonts w:eastAsia="Cambria"/>
          <w:sz w:val="20"/>
        </w:rPr>
        <w:t>ibrary</w:t>
      </w:r>
      <w:r>
        <w:rPr>
          <w:rFonts w:eastAsia="Cambria"/>
          <w:sz w:val="20"/>
        </w:rPr>
        <w:t>’</w:t>
      </w:r>
      <w:r w:rsidRPr="00AD1F5F">
        <w:rPr>
          <w:rFonts w:eastAsia="Cambria"/>
          <w:sz w:val="20"/>
        </w:rPr>
        <w:t xml:space="preserve">, </w:t>
      </w:r>
      <w:r w:rsidRPr="00AD1F5F">
        <w:rPr>
          <w:rFonts w:eastAsia="Cambria"/>
          <w:i/>
          <w:sz w:val="20"/>
        </w:rPr>
        <w:t>Recusant Hist</w:t>
      </w:r>
      <w:r>
        <w:rPr>
          <w:rFonts w:eastAsia="Cambria"/>
          <w:i/>
          <w:sz w:val="20"/>
        </w:rPr>
        <w:t>.</w:t>
      </w:r>
      <w:r w:rsidRPr="00AD1F5F">
        <w:rPr>
          <w:rFonts w:eastAsia="Cambria"/>
          <w:sz w:val="20"/>
        </w:rPr>
        <w:t>,</w:t>
      </w:r>
      <w:r w:rsidRPr="00AD1F5F">
        <w:rPr>
          <w:rFonts w:eastAsia="Cambria"/>
          <w:i/>
          <w:sz w:val="20"/>
        </w:rPr>
        <w:t xml:space="preserve"> </w:t>
      </w:r>
      <w:r w:rsidRPr="00AD1F5F">
        <w:rPr>
          <w:rFonts w:eastAsia="Cambria"/>
          <w:sz w:val="20"/>
        </w:rPr>
        <w:t xml:space="preserve">22 (4) (1995), </w:t>
      </w:r>
      <w:r w:rsidRPr="00AD1F5F">
        <w:rPr>
          <w:sz w:val="20"/>
        </w:rPr>
        <w:t>505–08, 511.</w:t>
      </w:r>
    </w:p>
  </w:footnote>
  <w:footnote w:id="66">
    <w:p w14:paraId="6B44628D" w14:textId="3B856044" w:rsidR="000C76D6" w:rsidRDefault="000C76D6" w:rsidP="002D094E">
      <w:pPr>
        <w:pStyle w:val="FootnoteText"/>
        <w:spacing w:line="360" w:lineRule="auto"/>
        <w:ind w:left="567" w:hanging="567"/>
      </w:pPr>
      <w:r>
        <w:rPr>
          <w:rStyle w:val="FootnoteReference"/>
        </w:rPr>
        <w:footnoteRef/>
      </w:r>
      <w:r>
        <w:t xml:space="preserve"> Harcourt and Harcourt, </w:t>
      </w:r>
      <w:r w:rsidRPr="003243C6">
        <w:t xml:space="preserve">‘The </w:t>
      </w:r>
      <w:r>
        <w:t>D</w:t>
      </w:r>
      <w:r w:rsidRPr="003243C6">
        <w:t>evelopment of Horton Court</w:t>
      </w:r>
      <w:r>
        <w:t>’, 70.</w:t>
      </w:r>
    </w:p>
  </w:footnote>
  <w:footnote w:id="67">
    <w:p w14:paraId="5A61E950" w14:textId="4D63C8AC" w:rsidR="000C76D6" w:rsidRDefault="000C76D6" w:rsidP="002D094E">
      <w:pPr>
        <w:pStyle w:val="FootnoteText"/>
        <w:spacing w:line="360" w:lineRule="auto"/>
        <w:ind w:left="567" w:hanging="567"/>
      </w:pPr>
      <w:r>
        <w:rPr>
          <w:rStyle w:val="FootnoteReference"/>
        </w:rPr>
        <w:footnoteRef/>
      </w:r>
      <w:r>
        <w:t xml:space="preserve"> </w:t>
      </w:r>
      <w:proofErr w:type="spellStart"/>
      <w:r>
        <w:t>Fendley</w:t>
      </w:r>
      <w:proofErr w:type="spellEnd"/>
      <w:r>
        <w:t xml:space="preserve"> </w:t>
      </w:r>
      <w:r>
        <w:rPr>
          <w:rFonts w:eastAsia="Cambria"/>
        </w:rPr>
        <w:t>‘</w:t>
      </w:r>
      <w:r w:rsidRPr="00AD1F5F">
        <w:rPr>
          <w:rFonts w:eastAsia="Cambria"/>
        </w:rPr>
        <w:t xml:space="preserve">The </w:t>
      </w:r>
      <w:proofErr w:type="spellStart"/>
      <w:r w:rsidRPr="00AD1F5F">
        <w:rPr>
          <w:rFonts w:eastAsia="Cambria"/>
        </w:rPr>
        <w:t>Pastons</w:t>
      </w:r>
      <w:proofErr w:type="spellEnd"/>
      <w:r w:rsidRPr="00AD1F5F">
        <w:rPr>
          <w:rFonts w:eastAsia="Cambria"/>
        </w:rPr>
        <w:t xml:space="preserve"> of Horton</w:t>
      </w:r>
      <w:r>
        <w:rPr>
          <w:rFonts w:eastAsia="Cambria"/>
        </w:rPr>
        <w:t>’</w:t>
      </w:r>
      <w:r>
        <w:t>, 512; cf</w:t>
      </w:r>
      <w:r w:rsidRPr="001646D4">
        <w:t xml:space="preserve">. Hodges, </w:t>
      </w:r>
      <w:r w:rsidRPr="001646D4">
        <w:rPr>
          <w:i/>
        </w:rPr>
        <w:t>Some Ancient English Homes</w:t>
      </w:r>
      <w:r w:rsidRPr="001646D4">
        <w:t>, 238.</w:t>
      </w:r>
    </w:p>
  </w:footnote>
  <w:footnote w:id="68">
    <w:p w14:paraId="6C22E799" w14:textId="2B089D2D" w:rsidR="000C76D6" w:rsidRDefault="000C76D6" w:rsidP="002D094E">
      <w:pPr>
        <w:pStyle w:val="FootnoteText"/>
        <w:spacing w:line="360" w:lineRule="auto"/>
        <w:ind w:left="567" w:hanging="567"/>
      </w:pPr>
      <w:r>
        <w:rPr>
          <w:rStyle w:val="FootnoteReference"/>
        </w:rPr>
        <w:footnoteRef/>
      </w:r>
      <w:r>
        <w:t xml:space="preserve"> </w:t>
      </w:r>
      <w:proofErr w:type="spellStart"/>
      <w:r>
        <w:t>Fendley</w:t>
      </w:r>
      <w:proofErr w:type="spellEnd"/>
      <w:r>
        <w:t xml:space="preserve"> </w:t>
      </w:r>
      <w:r>
        <w:rPr>
          <w:rFonts w:eastAsia="Cambria"/>
        </w:rPr>
        <w:t>‘</w:t>
      </w:r>
      <w:r w:rsidRPr="00AD1F5F">
        <w:rPr>
          <w:rFonts w:eastAsia="Cambria"/>
        </w:rPr>
        <w:t xml:space="preserve">The </w:t>
      </w:r>
      <w:proofErr w:type="spellStart"/>
      <w:r w:rsidRPr="00AD1F5F">
        <w:rPr>
          <w:rFonts w:eastAsia="Cambria"/>
        </w:rPr>
        <w:t>Pastons</w:t>
      </w:r>
      <w:proofErr w:type="spellEnd"/>
      <w:r w:rsidRPr="00AD1F5F">
        <w:rPr>
          <w:rFonts w:eastAsia="Cambria"/>
        </w:rPr>
        <w:t xml:space="preserve"> of Horton</w:t>
      </w:r>
      <w:r>
        <w:rPr>
          <w:rFonts w:eastAsia="Cambria"/>
        </w:rPr>
        <w:t>’</w:t>
      </w:r>
      <w:r>
        <w:t>, 510</w:t>
      </w:r>
      <w:r w:rsidR="00A66744">
        <w:t>–</w:t>
      </w:r>
      <w:r>
        <w:t>11.</w:t>
      </w:r>
    </w:p>
  </w:footnote>
  <w:footnote w:id="69">
    <w:p w14:paraId="4468553F" w14:textId="4E6F7027" w:rsidR="000C76D6" w:rsidRDefault="000C76D6" w:rsidP="002D094E">
      <w:pPr>
        <w:pStyle w:val="FootnoteText"/>
        <w:spacing w:line="360" w:lineRule="auto"/>
        <w:ind w:left="567" w:hanging="567"/>
      </w:pPr>
      <w:r>
        <w:rPr>
          <w:rStyle w:val="FootnoteReference"/>
        </w:rPr>
        <w:footnoteRef/>
      </w:r>
      <w:r>
        <w:t xml:space="preserve"> Harcourt and Harcourt, </w:t>
      </w:r>
      <w:r w:rsidRPr="003243C6">
        <w:t>‘The Development of Horton Court</w:t>
      </w:r>
      <w:r>
        <w:t xml:space="preserve">’, 70; </w:t>
      </w:r>
      <w:proofErr w:type="spellStart"/>
      <w:r>
        <w:t>Fendley</w:t>
      </w:r>
      <w:proofErr w:type="spellEnd"/>
      <w:r>
        <w:t xml:space="preserve"> </w:t>
      </w:r>
      <w:r>
        <w:rPr>
          <w:rFonts w:eastAsia="Cambria"/>
        </w:rPr>
        <w:t>‘</w:t>
      </w:r>
      <w:r w:rsidRPr="00AD1F5F">
        <w:rPr>
          <w:rFonts w:eastAsia="Cambria"/>
        </w:rPr>
        <w:t xml:space="preserve">The </w:t>
      </w:r>
      <w:proofErr w:type="spellStart"/>
      <w:r w:rsidRPr="00AD1F5F">
        <w:rPr>
          <w:rFonts w:eastAsia="Cambria"/>
        </w:rPr>
        <w:t>Pastons</w:t>
      </w:r>
      <w:proofErr w:type="spellEnd"/>
      <w:r w:rsidRPr="00AD1F5F">
        <w:rPr>
          <w:rFonts w:eastAsia="Cambria"/>
        </w:rPr>
        <w:t xml:space="preserve"> of Horton</w:t>
      </w:r>
      <w:r>
        <w:rPr>
          <w:rFonts w:eastAsia="Cambria"/>
        </w:rPr>
        <w:t>’</w:t>
      </w:r>
      <w:r>
        <w:t>, 513.</w:t>
      </w:r>
    </w:p>
  </w:footnote>
  <w:footnote w:id="70">
    <w:p w14:paraId="22488738" w14:textId="3DCB2302" w:rsidR="000C76D6" w:rsidRDefault="000C76D6" w:rsidP="002D094E">
      <w:pPr>
        <w:pStyle w:val="FootnoteText"/>
        <w:spacing w:line="360" w:lineRule="auto"/>
      </w:pPr>
      <w:r>
        <w:rPr>
          <w:rStyle w:val="FootnoteReference"/>
        </w:rPr>
        <w:footnoteRef/>
      </w:r>
      <w:r>
        <w:t xml:space="preserve"> Hill and Gardiner, </w:t>
      </w:r>
      <w:r w:rsidRPr="00AD1F5F">
        <w:t xml:space="preserve">‘The English </w:t>
      </w:r>
      <w:r>
        <w:t>m</w:t>
      </w:r>
      <w:r w:rsidRPr="00AD1F5F">
        <w:t xml:space="preserve">edieval </w:t>
      </w:r>
      <w:r>
        <w:t>f</w:t>
      </w:r>
      <w:r w:rsidRPr="00AD1F5F">
        <w:t>irst-</w:t>
      </w:r>
      <w:r>
        <w:t>f</w:t>
      </w:r>
      <w:r w:rsidRPr="00AD1F5F">
        <w:t xml:space="preserve">loor </w:t>
      </w:r>
      <w:r>
        <w:t>h</w:t>
      </w:r>
      <w:r w:rsidRPr="00AD1F5F">
        <w:t xml:space="preserve">all: </w:t>
      </w:r>
      <w:r>
        <w:t>p</w:t>
      </w:r>
      <w:r w:rsidRPr="00AD1F5F">
        <w:t>art 2</w:t>
      </w:r>
      <w:r>
        <w:t>’, 354.</w:t>
      </w:r>
    </w:p>
  </w:footnote>
  <w:footnote w:id="71">
    <w:p w14:paraId="465B1831" w14:textId="255EA6CD" w:rsidR="000C76D6" w:rsidRDefault="000C76D6" w:rsidP="002D094E">
      <w:pPr>
        <w:pStyle w:val="FootnoteText"/>
        <w:spacing w:line="360" w:lineRule="auto"/>
      </w:pPr>
      <w:r>
        <w:rPr>
          <w:rStyle w:val="FootnoteReference"/>
        </w:rPr>
        <w:footnoteRef/>
      </w:r>
      <w:r>
        <w:t xml:space="preserve"> Hill. ‘Hall and chambers’, 184–5; M. </w:t>
      </w:r>
      <w:r w:rsidRPr="00AD1F5F">
        <w:t xml:space="preserve">Gardiner, ‘Buttery and </w:t>
      </w:r>
      <w:r>
        <w:t>p</w:t>
      </w:r>
      <w:r w:rsidRPr="00AD1F5F">
        <w:t xml:space="preserve">antry, and their </w:t>
      </w:r>
      <w:r>
        <w:t>a</w:t>
      </w:r>
      <w:r w:rsidRPr="00AD1F5F">
        <w:t xml:space="preserve">ntecedents: </w:t>
      </w:r>
      <w:r>
        <w:t>i</w:t>
      </w:r>
      <w:r w:rsidRPr="00AD1F5F">
        <w:t xml:space="preserve">dea and </w:t>
      </w:r>
      <w:r>
        <w:t>a</w:t>
      </w:r>
      <w:r w:rsidRPr="00AD1F5F">
        <w:t xml:space="preserve">rchitecture in the English </w:t>
      </w:r>
      <w:r>
        <w:t>m</w:t>
      </w:r>
      <w:r w:rsidRPr="00AD1F5F">
        <w:t xml:space="preserve">edieval </w:t>
      </w:r>
      <w:r>
        <w:t>h</w:t>
      </w:r>
      <w:r w:rsidRPr="00AD1F5F">
        <w:t xml:space="preserve">ouse’, in </w:t>
      </w:r>
      <w:r w:rsidRPr="00AD1F5F">
        <w:rPr>
          <w:i/>
        </w:rPr>
        <w:t>Medieval Domesticity: House, Housing and Household</w:t>
      </w:r>
      <w:r w:rsidRPr="00AD1F5F">
        <w:t>, ed</w:t>
      </w:r>
      <w:r>
        <w:t xml:space="preserve">. </w:t>
      </w:r>
      <w:r w:rsidRPr="00AD1F5F">
        <w:t xml:space="preserve">M. </w:t>
      </w:r>
      <w:proofErr w:type="spellStart"/>
      <w:r w:rsidRPr="00AD1F5F">
        <w:t>Kowaleski</w:t>
      </w:r>
      <w:proofErr w:type="spellEnd"/>
      <w:r w:rsidRPr="00AD1F5F">
        <w:t xml:space="preserve"> and P</w:t>
      </w:r>
      <w:r>
        <w:t>.</w:t>
      </w:r>
      <w:r w:rsidRPr="00AD1F5F">
        <w:t>J</w:t>
      </w:r>
      <w:r>
        <w:t>.</w:t>
      </w:r>
      <w:r w:rsidRPr="00AD1F5F">
        <w:t xml:space="preserve"> Goldberg</w:t>
      </w:r>
      <w:r>
        <w:t xml:space="preserve"> (Cambridge, 2008)</w:t>
      </w:r>
      <w:r w:rsidRPr="00AD1F5F">
        <w:t xml:space="preserve">, </w:t>
      </w:r>
      <w:r>
        <w:t xml:space="preserve">49; Hill and Gardiner, </w:t>
      </w:r>
      <w:r w:rsidRPr="00AD1F5F">
        <w:t xml:space="preserve">‘The English </w:t>
      </w:r>
      <w:r>
        <w:t>m</w:t>
      </w:r>
      <w:r w:rsidRPr="00AD1F5F">
        <w:t xml:space="preserve">edieval </w:t>
      </w:r>
      <w:r>
        <w:t>f</w:t>
      </w:r>
      <w:r w:rsidRPr="00AD1F5F">
        <w:t>irst-</w:t>
      </w:r>
      <w:r>
        <w:t>f</w:t>
      </w:r>
      <w:r w:rsidRPr="00AD1F5F">
        <w:t xml:space="preserve">loor </w:t>
      </w:r>
      <w:r w:rsidR="00A66744">
        <w:t>h</w:t>
      </w:r>
      <w:r w:rsidRPr="00AD1F5F">
        <w:t xml:space="preserve">all: </w:t>
      </w:r>
      <w:r>
        <w:t>p</w:t>
      </w:r>
      <w:r w:rsidRPr="00AD1F5F">
        <w:t xml:space="preserve">art </w:t>
      </w:r>
      <w:r>
        <w:t>1’, 173.</w:t>
      </w:r>
    </w:p>
  </w:footnote>
  <w:footnote w:id="72">
    <w:p w14:paraId="43480BB8" w14:textId="6B3EA1B0" w:rsidR="000C76D6" w:rsidRDefault="000C76D6" w:rsidP="002D094E">
      <w:pPr>
        <w:pStyle w:val="FootnoteText"/>
        <w:spacing w:line="360" w:lineRule="auto"/>
      </w:pPr>
      <w:r>
        <w:rPr>
          <w:rStyle w:val="FootnoteReference"/>
        </w:rPr>
        <w:footnoteRef/>
      </w:r>
      <w:r>
        <w:t xml:space="preserve"> Hill and Gardiner, </w:t>
      </w:r>
      <w:r w:rsidRPr="00AD1F5F">
        <w:t xml:space="preserve">‘The English </w:t>
      </w:r>
      <w:r>
        <w:t>m</w:t>
      </w:r>
      <w:r w:rsidRPr="00AD1F5F">
        <w:t xml:space="preserve">edieval </w:t>
      </w:r>
      <w:r>
        <w:t>f</w:t>
      </w:r>
      <w:r w:rsidRPr="00AD1F5F">
        <w:t>irst-</w:t>
      </w:r>
      <w:r>
        <w:t>f</w:t>
      </w:r>
      <w:r w:rsidRPr="00AD1F5F">
        <w:t xml:space="preserve">loor </w:t>
      </w:r>
      <w:r>
        <w:t>h</w:t>
      </w:r>
      <w:r w:rsidRPr="00AD1F5F">
        <w:t xml:space="preserve">all: </w:t>
      </w:r>
      <w:r>
        <w:t>p</w:t>
      </w:r>
      <w:r w:rsidRPr="00AD1F5F">
        <w:t>art 2</w:t>
      </w:r>
      <w:r>
        <w:t>’, 329.</w:t>
      </w:r>
    </w:p>
  </w:footnote>
  <w:footnote w:id="73">
    <w:p w14:paraId="555FAF40" w14:textId="6D7C4B91" w:rsidR="000C76D6" w:rsidRDefault="000C76D6" w:rsidP="002D094E">
      <w:pPr>
        <w:pStyle w:val="FootnoteText"/>
        <w:spacing w:line="360" w:lineRule="auto"/>
      </w:pPr>
      <w:r>
        <w:rPr>
          <w:rStyle w:val="FootnoteReference"/>
        </w:rPr>
        <w:footnoteRef/>
      </w:r>
      <w:r>
        <w:t xml:space="preserve"> Blair 1993, 7.</w:t>
      </w:r>
    </w:p>
  </w:footnote>
  <w:footnote w:id="74">
    <w:p w14:paraId="79FA9188" w14:textId="1AE72C79" w:rsidR="000C76D6" w:rsidRDefault="000C76D6" w:rsidP="002D094E">
      <w:pPr>
        <w:pStyle w:val="FootnoteText"/>
        <w:spacing w:line="360" w:lineRule="auto"/>
      </w:pPr>
      <w:r>
        <w:rPr>
          <w:rStyle w:val="FootnoteReference"/>
        </w:rPr>
        <w:footnoteRef/>
      </w:r>
      <w:r>
        <w:t xml:space="preserve"> E.g. K. </w:t>
      </w:r>
      <w:r w:rsidRPr="004062AD">
        <w:t xml:space="preserve">Giles, </w:t>
      </w:r>
      <w:r w:rsidRPr="004062AD">
        <w:rPr>
          <w:i/>
        </w:rPr>
        <w:t>The Archaeology of Social Identity: Guildhalls in York, c. 1350–1630</w:t>
      </w:r>
      <w:r w:rsidR="00A66744">
        <w:t xml:space="preserve"> </w:t>
      </w:r>
      <w:r>
        <w:t>(</w:t>
      </w:r>
      <w:r w:rsidRPr="004062AD">
        <w:t>Oxford</w:t>
      </w:r>
      <w:r>
        <w:t xml:space="preserve">, </w:t>
      </w:r>
      <w:r w:rsidRPr="004062AD">
        <w:t>2000</w:t>
      </w:r>
      <w:r>
        <w:t>), 62–63.</w:t>
      </w:r>
    </w:p>
  </w:footnote>
  <w:footnote w:id="75">
    <w:p w14:paraId="6A0F239F" w14:textId="3D91B994" w:rsidR="000C76D6" w:rsidRDefault="000C76D6" w:rsidP="002D094E">
      <w:pPr>
        <w:pStyle w:val="FootnoteText"/>
        <w:spacing w:line="360" w:lineRule="auto"/>
      </w:pPr>
      <w:r>
        <w:rPr>
          <w:rStyle w:val="FootnoteReference"/>
        </w:rPr>
        <w:footnoteRef/>
      </w:r>
      <w:r>
        <w:t xml:space="preserve"> </w:t>
      </w:r>
      <w:r w:rsidRPr="004062AD">
        <w:t>P</w:t>
      </w:r>
      <w:r>
        <w:t>.</w:t>
      </w:r>
      <w:r w:rsidRPr="004062AD">
        <w:t>S</w:t>
      </w:r>
      <w:r>
        <w:t>.</w:t>
      </w:r>
      <w:r w:rsidRPr="004062AD">
        <w:t xml:space="preserve"> Barnwell, ‘The </w:t>
      </w:r>
      <w:r>
        <w:t>l</w:t>
      </w:r>
      <w:r w:rsidRPr="004062AD">
        <w:t xml:space="preserve">aity, the </w:t>
      </w:r>
      <w:r>
        <w:t>c</w:t>
      </w:r>
      <w:r w:rsidRPr="004062AD">
        <w:t xml:space="preserve">lergy and the </w:t>
      </w:r>
      <w:r>
        <w:t>d</w:t>
      </w:r>
      <w:r w:rsidRPr="004062AD">
        <w:t xml:space="preserve">ivine </w:t>
      </w:r>
      <w:r>
        <w:t>p</w:t>
      </w:r>
      <w:r w:rsidRPr="004062AD">
        <w:t xml:space="preserve">resence: </w:t>
      </w:r>
      <w:r>
        <w:t>t</w:t>
      </w:r>
      <w:r w:rsidRPr="004062AD">
        <w:t xml:space="preserve">he </w:t>
      </w:r>
      <w:r>
        <w:t>u</w:t>
      </w:r>
      <w:r w:rsidRPr="004062AD">
        <w:t xml:space="preserve">se of </w:t>
      </w:r>
      <w:r>
        <w:t>s</w:t>
      </w:r>
      <w:r w:rsidRPr="004062AD">
        <w:t xml:space="preserve">pace in </w:t>
      </w:r>
      <w:r>
        <w:t>s</w:t>
      </w:r>
      <w:r w:rsidRPr="004062AD">
        <w:t xml:space="preserve">maller </w:t>
      </w:r>
      <w:r>
        <w:t>c</w:t>
      </w:r>
      <w:r w:rsidRPr="004062AD">
        <w:t xml:space="preserve">hurches of the </w:t>
      </w:r>
      <w:r>
        <w:t>e</w:t>
      </w:r>
      <w:r w:rsidRPr="004062AD">
        <w:t xml:space="preserve">leventh and </w:t>
      </w:r>
      <w:r>
        <w:t>t</w:t>
      </w:r>
      <w:r w:rsidRPr="004062AD">
        <w:t xml:space="preserve">welfth </w:t>
      </w:r>
      <w:r>
        <w:t>c</w:t>
      </w:r>
      <w:r w:rsidRPr="004062AD">
        <w:t xml:space="preserve">enturies’, </w:t>
      </w:r>
      <w:proofErr w:type="spellStart"/>
      <w:r w:rsidRPr="004062AD">
        <w:rPr>
          <w:i/>
        </w:rPr>
        <w:t>Jnl</w:t>
      </w:r>
      <w:proofErr w:type="spellEnd"/>
      <w:r>
        <w:rPr>
          <w:i/>
        </w:rPr>
        <w:t>.</w:t>
      </w:r>
      <w:r w:rsidRPr="004062AD">
        <w:rPr>
          <w:i/>
        </w:rPr>
        <w:t xml:space="preserve"> of the Brit</w:t>
      </w:r>
      <w:r>
        <w:rPr>
          <w:i/>
        </w:rPr>
        <w:t>.</w:t>
      </w:r>
      <w:r w:rsidRPr="004062AD">
        <w:rPr>
          <w:i/>
        </w:rPr>
        <w:t xml:space="preserve"> </w:t>
      </w:r>
      <w:proofErr w:type="spellStart"/>
      <w:r w:rsidRPr="004062AD">
        <w:rPr>
          <w:i/>
        </w:rPr>
        <w:t>Archaeol</w:t>
      </w:r>
      <w:proofErr w:type="spellEnd"/>
      <w:r>
        <w:rPr>
          <w:i/>
        </w:rPr>
        <w:t>.</w:t>
      </w:r>
      <w:r w:rsidRPr="004062AD">
        <w:rPr>
          <w:i/>
        </w:rPr>
        <w:t xml:space="preserve"> Assoc</w:t>
      </w:r>
      <w:r>
        <w:rPr>
          <w:i/>
        </w:rPr>
        <w:t>.</w:t>
      </w:r>
      <w:r w:rsidRPr="00760991">
        <w:t xml:space="preserve"> 157</w:t>
      </w:r>
      <w:r w:rsidRPr="004062AD">
        <w:t xml:space="preserve"> </w:t>
      </w:r>
      <w:r>
        <w:t>(</w:t>
      </w:r>
      <w:r w:rsidRPr="004062AD">
        <w:t>2004</w:t>
      </w:r>
      <w:r>
        <w:t>)</w:t>
      </w:r>
      <w:r w:rsidRPr="004062AD">
        <w:t>, 41–60</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46668283"/>
      <w:docPartObj>
        <w:docPartGallery w:val="Page Numbers (Top of Page)"/>
        <w:docPartUnique/>
      </w:docPartObj>
    </w:sdtPr>
    <w:sdtEndPr>
      <w:rPr>
        <w:rStyle w:val="PageNumber"/>
      </w:rPr>
    </w:sdtEndPr>
    <w:sdtContent>
      <w:p w14:paraId="254A72F9" w14:textId="372B7BD0" w:rsidR="000C76D6" w:rsidRDefault="000C76D6" w:rsidP="00E31CCA">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3286D20" w14:textId="77777777" w:rsidR="000C76D6" w:rsidRDefault="000C76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833607039"/>
      <w:docPartObj>
        <w:docPartGallery w:val="Page Numbers (Top of Page)"/>
        <w:docPartUnique/>
      </w:docPartObj>
    </w:sdtPr>
    <w:sdtEndPr>
      <w:rPr>
        <w:rStyle w:val="PageNumber"/>
      </w:rPr>
    </w:sdtEndPr>
    <w:sdtContent>
      <w:p w14:paraId="548D9A10" w14:textId="25D39E72" w:rsidR="000C76D6" w:rsidRDefault="000C76D6" w:rsidP="00E31CCA">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p>
    </w:sdtContent>
  </w:sdt>
  <w:p w14:paraId="51201C3C" w14:textId="77777777" w:rsidR="000C76D6" w:rsidRDefault="000C76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B1E86"/>
    <w:multiLevelType w:val="hybridMultilevel"/>
    <w:tmpl w:val="4DA4E4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CAA5394"/>
    <w:multiLevelType w:val="hybridMultilevel"/>
    <w:tmpl w:val="4E6E3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9E71614"/>
    <w:multiLevelType w:val="hybridMultilevel"/>
    <w:tmpl w:val="3DE276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C8A"/>
    <w:rsid w:val="000004D6"/>
    <w:rsid w:val="00004019"/>
    <w:rsid w:val="0000426D"/>
    <w:rsid w:val="0000608E"/>
    <w:rsid w:val="00007B37"/>
    <w:rsid w:val="000100BB"/>
    <w:rsid w:val="00010B0A"/>
    <w:rsid w:val="0001209A"/>
    <w:rsid w:val="00013215"/>
    <w:rsid w:val="00014A83"/>
    <w:rsid w:val="000161C8"/>
    <w:rsid w:val="00016B14"/>
    <w:rsid w:val="000204B9"/>
    <w:rsid w:val="00020BB6"/>
    <w:rsid w:val="00021A2D"/>
    <w:rsid w:val="000232E0"/>
    <w:rsid w:val="000233B1"/>
    <w:rsid w:val="00023DB9"/>
    <w:rsid w:val="000260B3"/>
    <w:rsid w:val="00027736"/>
    <w:rsid w:val="00036FA7"/>
    <w:rsid w:val="000379BC"/>
    <w:rsid w:val="00037A67"/>
    <w:rsid w:val="00041AD8"/>
    <w:rsid w:val="00041DC4"/>
    <w:rsid w:val="0004468D"/>
    <w:rsid w:val="00044D4D"/>
    <w:rsid w:val="00046977"/>
    <w:rsid w:val="000501F2"/>
    <w:rsid w:val="00050FC9"/>
    <w:rsid w:val="0005205F"/>
    <w:rsid w:val="00052BCF"/>
    <w:rsid w:val="00053078"/>
    <w:rsid w:val="0005434F"/>
    <w:rsid w:val="00055FB3"/>
    <w:rsid w:val="0005633C"/>
    <w:rsid w:val="000568F8"/>
    <w:rsid w:val="00061664"/>
    <w:rsid w:val="00062065"/>
    <w:rsid w:val="00063909"/>
    <w:rsid w:val="00066485"/>
    <w:rsid w:val="00067A12"/>
    <w:rsid w:val="00067A9D"/>
    <w:rsid w:val="0007349F"/>
    <w:rsid w:val="00081F6B"/>
    <w:rsid w:val="00083CC4"/>
    <w:rsid w:val="00086524"/>
    <w:rsid w:val="00086CAB"/>
    <w:rsid w:val="00090CA6"/>
    <w:rsid w:val="0009377B"/>
    <w:rsid w:val="00093AE2"/>
    <w:rsid w:val="000947E9"/>
    <w:rsid w:val="00095C69"/>
    <w:rsid w:val="000A06AC"/>
    <w:rsid w:val="000A175F"/>
    <w:rsid w:val="000A25D5"/>
    <w:rsid w:val="000A2A19"/>
    <w:rsid w:val="000A2C93"/>
    <w:rsid w:val="000A441F"/>
    <w:rsid w:val="000A45EA"/>
    <w:rsid w:val="000A56AA"/>
    <w:rsid w:val="000A56B9"/>
    <w:rsid w:val="000A56C2"/>
    <w:rsid w:val="000A7C03"/>
    <w:rsid w:val="000B1B70"/>
    <w:rsid w:val="000B2A83"/>
    <w:rsid w:val="000B32B6"/>
    <w:rsid w:val="000B5173"/>
    <w:rsid w:val="000B79CE"/>
    <w:rsid w:val="000C1456"/>
    <w:rsid w:val="000C14D3"/>
    <w:rsid w:val="000C3FAC"/>
    <w:rsid w:val="000C76D6"/>
    <w:rsid w:val="000D0173"/>
    <w:rsid w:val="000D0F40"/>
    <w:rsid w:val="000D4070"/>
    <w:rsid w:val="000D5572"/>
    <w:rsid w:val="000E21D9"/>
    <w:rsid w:val="000E75F9"/>
    <w:rsid w:val="000E7E6C"/>
    <w:rsid w:val="000F172D"/>
    <w:rsid w:val="000F195D"/>
    <w:rsid w:val="000F3CD8"/>
    <w:rsid w:val="000F54C2"/>
    <w:rsid w:val="000F5A11"/>
    <w:rsid w:val="000F6D21"/>
    <w:rsid w:val="000F7B11"/>
    <w:rsid w:val="00102B46"/>
    <w:rsid w:val="00105827"/>
    <w:rsid w:val="00105CDA"/>
    <w:rsid w:val="001060C5"/>
    <w:rsid w:val="00106B18"/>
    <w:rsid w:val="00110E68"/>
    <w:rsid w:val="00111590"/>
    <w:rsid w:val="001118CF"/>
    <w:rsid w:val="00121D70"/>
    <w:rsid w:val="00121FF8"/>
    <w:rsid w:val="00125884"/>
    <w:rsid w:val="00131A3A"/>
    <w:rsid w:val="00133755"/>
    <w:rsid w:val="00133E4B"/>
    <w:rsid w:val="00134094"/>
    <w:rsid w:val="00134E4E"/>
    <w:rsid w:val="001401DF"/>
    <w:rsid w:val="001430DD"/>
    <w:rsid w:val="00143905"/>
    <w:rsid w:val="001464FF"/>
    <w:rsid w:val="00146E0A"/>
    <w:rsid w:val="00152001"/>
    <w:rsid w:val="001569D0"/>
    <w:rsid w:val="001610CD"/>
    <w:rsid w:val="001646D4"/>
    <w:rsid w:val="0016545E"/>
    <w:rsid w:val="0017032E"/>
    <w:rsid w:val="00172785"/>
    <w:rsid w:val="00177E71"/>
    <w:rsid w:val="0018014B"/>
    <w:rsid w:val="00181CA5"/>
    <w:rsid w:val="00182684"/>
    <w:rsid w:val="0018285C"/>
    <w:rsid w:val="00190BF3"/>
    <w:rsid w:val="00192135"/>
    <w:rsid w:val="0019415C"/>
    <w:rsid w:val="00195660"/>
    <w:rsid w:val="001965D2"/>
    <w:rsid w:val="00196E8C"/>
    <w:rsid w:val="0019765E"/>
    <w:rsid w:val="001A3679"/>
    <w:rsid w:val="001A6DC2"/>
    <w:rsid w:val="001A73B8"/>
    <w:rsid w:val="001B307A"/>
    <w:rsid w:val="001B4C95"/>
    <w:rsid w:val="001B5C64"/>
    <w:rsid w:val="001C1493"/>
    <w:rsid w:val="001C3887"/>
    <w:rsid w:val="001C3ECB"/>
    <w:rsid w:val="001C4B53"/>
    <w:rsid w:val="001C5593"/>
    <w:rsid w:val="001C6A9D"/>
    <w:rsid w:val="001D00B7"/>
    <w:rsid w:val="001E0B39"/>
    <w:rsid w:val="001E0C24"/>
    <w:rsid w:val="001E3D8D"/>
    <w:rsid w:val="001E5481"/>
    <w:rsid w:val="001E5E91"/>
    <w:rsid w:val="001F28EC"/>
    <w:rsid w:val="001F2D11"/>
    <w:rsid w:val="001F40A7"/>
    <w:rsid w:val="001F4614"/>
    <w:rsid w:val="001F5B17"/>
    <w:rsid w:val="00200155"/>
    <w:rsid w:val="002028B5"/>
    <w:rsid w:val="00202A33"/>
    <w:rsid w:val="00203AB2"/>
    <w:rsid w:val="002052A5"/>
    <w:rsid w:val="00206194"/>
    <w:rsid w:val="00206D8E"/>
    <w:rsid w:val="00210161"/>
    <w:rsid w:val="00211231"/>
    <w:rsid w:val="00217466"/>
    <w:rsid w:val="00220DFB"/>
    <w:rsid w:val="00221D9D"/>
    <w:rsid w:val="00222EE7"/>
    <w:rsid w:val="00226640"/>
    <w:rsid w:val="002307D4"/>
    <w:rsid w:val="00232287"/>
    <w:rsid w:val="002325BE"/>
    <w:rsid w:val="002330E8"/>
    <w:rsid w:val="00235D16"/>
    <w:rsid w:val="0023623C"/>
    <w:rsid w:val="002362D8"/>
    <w:rsid w:val="00243261"/>
    <w:rsid w:val="00244F02"/>
    <w:rsid w:val="002452A7"/>
    <w:rsid w:val="00247B39"/>
    <w:rsid w:val="00247CFD"/>
    <w:rsid w:val="002519B8"/>
    <w:rsid w:val="00253792"/>
    <w:rsid w:val="00253AAC"/>
    <w:rsid w:val="00253CF3"/>
    <w:rsid w:val="00260185"/>
    <w:rsid w:val="00260C7A"/>
    <w:rsid w:val="002627F4"/>
    <w:rsid w:val="00262A33"/>
    <w:rsid w:val="0026420E"/>
    <w:rsid w:val="00264539"/>
    <w:rsid w:val="00265E4B"/>
    <w:rsid w:val="002667B1"/>
    <w:rsid w:val="002712D8"/>
    <w:rsid w:val="0027140C"/>
    <w:rsid w:val="00274238"/>
    <w:rsid w:val="002745E6"/>
    <w:rsid w:val="00275844"/>
    <w:rsid w:val="00275C9F"/>
    <w:rsid w:val="00276701"/>
    <w:rsid w:val="00277055"/>
    <w:rsid w:val="0027771E"/>
    <w:rsid w:val="00277904"/>
    <w:rsid w:val="00277DD8"/>
    <w:rsid w:val="002802D2"/>
    <w:rsid w:val="00281F6C"/>
    <w:rsid w:val="002822D0"/>
    <w:rsid w:val="002825A3"/>
    <w:rsid w:val="0028414D"/>
    <w:rsid w:val="00285F7B"/>
    <w:rsid w:val="002911AA"/>
    <w:rsid w:val="00291AF4"/>
    <w:rsid w:val="002939CF"/>
    <w:rsid w:val="00293D26"/>
    <w:rsid w:val="00296BA2"/>
    <w:rsid w:val="00297A40"/>
    <w:rsid w:val="002A012F"/>
    <w:rsid w:val="002A09B5"/>
    <w:rsid w:val="002A1343"/>
    <w:rsid w:val="002A15BB"/>
    <w:rsid w:val="002A3181"/>
    <w:rsid w:val="002A6A45"/>
    <w:rsid w:val="002A7057"/>
    <w:rsid w:val="002B1366"/>
    <w:rsid w:val="002B35BF"/>
    <w:rsid w:val="002B3DF2"/>
    <w:rsid w:val="002B4FDC"/>
    <w:rsid w:val="002B6ACC"/>
    <w:rsid w:val="002B7C8F"/>
    <w:rsid w:val="002B7E74"/>
    <w:rsid w:val="002C2541"/>
    <w:rsid w:val="002C5A98"/>
    <w:rsid w:val="002C5C3F"/>
    <w:rsid w:val="002C69C0"/>
    <w:rsid w:val="002D094E"/>
    <w:rsid w:val="002D1FCC"/>
    <w:rsid w:val="002D7FC3"/>
    <w:rsid w:val="002E09B7"/>
    <w:rsid w:val="002E18D3"/>
    <w:rsid w:val="002E48C3"/>
    <w:rsid w:val="002E6A1F"/>
    <w:rsid w:val="002F0AA8"/>
    <w:rsid w:val="002F573A"/>
    <w:rsid w:val="002F77DA"/>
    <w:rsid w:val="00302FFA"/>
    <w:rsid w:val="00306432"/>
    <w:rsid w:val="00306D05"/>
    <w:rsid w:val="00307F39"/>
    <w:rsid w:val="003103C1"/>
    <w:rsid w:val="00310C52"/>
    <w:rsid w:val="00313F69"/>
    <w:rsid w:val="00317EEB"/>
    <w:rsid w:val="003226DF"/>
    <w:rsid w:val="003243C6"/>
    <w:rsid w:val="003269FE"/>
    <w:rsid w:val="00326A61"/>
    <w:rsid w:val="00330E8D"/>
    <w:rsid w:val="00333063"/>
    <w:rsid w:val="0033460C"/>
    <w:rsid w:val="00335812"/>
    <w:rsid w:val="00341BC7"/>
    <w:rsid w:val="00342783"/>
    <w:rsid w:val="0034400E"/>
    <w:rsid w:val="00345C84"/>
    <w:rsid w:val="00346765"/>
    <w:rsid w:val="00352010"/>
    <w:rsid w:val="0035244A"/>
    <w:rsid w:val="003540BB"/>
    <w:rsid w:val="00356199"/>
    <w:rsid w:val="003617CF"/>
    <w:rsid w:val="00364F63"/>
    <w:rsid w:val="00365890"/>
    <w:rsid w:val="00366BC6"/>
    <w:rsid w:val="00367514"/>
    <w:rsid w:val="003750A0"/>
    <w:rsid w:val="00376EA9"/>
    <w:rsid w:val="00377073"/>
    <w:rsid w:val="003777F6"/>
    <w:rsid w:val="00380329"/>
    <w:rsid w:val="00380F4A"/>
    <w:rsid w:val="00380FF6"/>
    <w:rsid w:val="003821E6"/>
    <w:rsid w:val="003841E6"/>
    <w:rsid w:val="00391E08"/>
    <w:rsid w:val="00393BF4"/>
    <w:rsid w:val="0039595A"/>
    <w:rsid w:val="003A10E8"/>
    <w:rsid w:val="003A2B10"/>
    <w:rsid w:val="003A3461"/>
    <w:rsid w:val="003B0CA3"/>
    <w:rsid w:val="003B0EA6"/>
    <w:rsid w:val="003B1B90"/>
    <w:rsid w:val="003B4494"/>
    <w:rsid w:val="003C0503"/>
    <w:rsid w:val="003C105F"/>
    <w:rsid w:val="003C134A"/>
    <w:rsid w:val="003C1DEC"/>
    <w:rsid w:val="003C28E5"/>
    <w:rsid w:val="003C4F2E"/>
    <w:rsid w:val="003C55FC"/>
    <w:rsid w:val="003C79AB"/>
    <w:rsid w:val="003D0A2C"/>
    <w:rsid w:val="003D43F5"/>
    <w:rsid w:val="003D47DC"/>
    <w:rsid w:val="003D4B7A"/>
    <w:rsid w:val="003D5A41"/>
    <w:rsid w:val="003E3032"/>
    <w:rsid w:val="003F0A57"/>
    <w:rsid w:val="003F1672"/>
    <w:rsid w:val="003F46C7"/>
    <w:rsid w:val="003F4C17"/>
    <w:rsid w:val="003F4FDF"/>
    <w:rsid w:val="003F7A44"/>
    <w:rsid w:val="0040076C"/>
    <w:rsid w:val="00400F48"/>
    <w:rsid w:val="00403694"/>
    <w:rsid w:val="00404657"/>
    <w:rsid w:val="00404AC5"/>
    <w:rsid w:val="004062AD"/>
    <w:rsid w:val="00406F56"/>
    <w:rsid w:val="0041050B"/>
    <w:rsid w:val="004108D3"/>
    <w:rsid w:val="00411307"/>
    <w:rsid w:val="004135B0"/>
    <w:rsid w:val="004135E6"/>
    <w:rsid w:val="0041368D"/>
    <w:rsid w:val="00420E18"/>
    <w:rsid w:val="004228CF"/>
    <w:rsid w:val="00422F8E"/>
    <w:rsid w:val="00424153"/>
    <w:rsid w:val="00425915"/>
    <w:rsid w:val="0043622E"/>
    <w:rsid w:val="0043772F"/>
    <w:rsid w:val="0044241F"/>
    <w:rsid w:val="00444DCA"/>
    <w:rsid w:val="004459B3"/>
    <w:rsid w:val="00454D75"/>
    <w:rsid w:val="00456D3A"/>
    <w:rsid w:val="00456DCF"/>
    <w:rsid w:val="00462AED"/>
    <w:rsid w:val="004631EE"/>
    <w:rsid w:val="00465A73"/>
    <w:rsid w:val="00465FE2"/>
    <w:rsid w:val="00465FF0"/>
    <w:rsid w:val="00466551"/>
    <w:rsid w:val="00467DEA"/>
    <w:rsid w:val="00472091"/>
    <w:rsid w:val="004722F2"/>
    <w:rsid w:val="0047449D"/>
    <w:rsid w:val="00474E16"/>
    <w:rsid w:val="004761DE"/>
    <w:rsid w:val="00477354"/>
    <w:rsid w:val="00480B57"/>
    <w:rsid w:val="00485CC5"/>
    <w:rsid w:val="004863EB"/>
    <w:rsid w:val="00487E46"/>
    <w:rsid w:val="0049331C"/>
    <w:rsid w:val="00493986"/>
    <w:rsid w:val="00494D8F"/>
    <w:rsid w:val="00494EF7"/>
    <w:rsid w:val="004974D7"/>
    <w:rsid w:val="004A1ACF"/>
    <w:rsid w:val="004A230A"/>
    <w:rsid w:val="004B1A7A"/>
    <w:rsid w:val="004B5824"/>
    <w:rsid w:val="004B7305"/>
    <w:rsid w:val="004B797D"/>
    <w:rsid w:val="004C1633"/>
    <w:rsid w:val="004C2AFC"/>
    <w:rsid w:val="004C3A7D"/>
    <w:rsid w:val="004C48F0"/>
    <w:rsid w:val="004C7D1F"/>
    <w:rsid w:val="004D09E5"/>
    <w:rsid w:val="004D12E4"/>
    <w:rsid w:val="004D2B0E"/>
    <w:rsid w:val="004D303C"/>
    <w:rsid w:val="004D34A6"/>
    <w:rsid w:val="004D4AA0"/>
    <w:rsid w:val="004D5612"/>
    <w:rsid w:val="004D76B4"/>
    <w:rsid w:val="004E1DF1"/>
    <w:rsid w:val="004E65DA"/>
    <w:rsid w:val="004E6CFA"/>
    <w:rsid w:val="004E73F5"/>
    <w:rsid w:val="004E758D"/>
    <w:rsid w:val="004E7F72"/>
    <w:rsid w:val="004F1305"/>
    <w:rsid w:val="004F769E"/>
    <w:rsid w:val="004F792F"/>
    <w:rsid w:val="00503DCC"/>
    <w:rsid w:val="00505260"/>
    <w:rsid w:val="00506D20"/>
    <w:rsid w:val="00514FAF"/>
    <w:rsid w:val="00517643"/>
    <w:rsid w:val="00520C07"/>
    <w:rsid w:val="00527415"/>
    <w:rsid w:val="005276EF"/>
    <w:rsid w:val="00531587"/>
    <w:rsid w:val="0053369E"/>
    <w:rsid w:val="00540668"/>
    <w:rsid w:val="00540CBD"/>
    <w:rsid w:val="00551B82"/>
    <w:rsid w:val="00555318"/>
    <w:rsid w:val="0055574F"/>
    <w:rsid w:val="0055756B"/>
    <w:rsid w:val="00560C58"/>
    <w:rsid w:val="00562174"/>
    <w:rsid w:val="00562560"/>
    <w:rsid w:val="00564B8F"/>
    <w:rsid w:val="00570FA4"/>
    <w:rsid w:val="00571338"/>
    <w:rsid w:val="00575E32"/>
    <w:rsid w:val="005770AD"/>
    <w:rsid w:val="00577EE7"/>
    <w:rsid w:val="00580B32"/>
    <w:rsid w:val="005846AD"/>
    <w:rsid w:val="00587B10"/>
    <w:rsid w:val="005929AC"/>
    <w:rsid w:val="00592FCC"/>
    <w:rsid w:val="00593A21"/>
    <w:rsid w:val="00594C4D"/>
    <w:rsid w:val="005976B6"/>
    <w:rsid w:val="005A0A16"/>
    <w:rsid w:val="005A2DE6"/>
    <w:rsid w:val="005A5433"/>
    <w:rsid w:val="005A55F5"/>
    <w:rsid w:val="005A7152"/>
    <w:rsid w:val="005A7293"/>
    <w:rsid w:val="005A7EEA"/>
    <w:rsid w:val="005B0A1B"/>
    <w:rsid w:val="005B7431"/>
    <w:rsid w:val="005C7576"/>
    <w:rsid w:val="005C7F21"/>
    <w:rsid w:val="005D02EE"/>
    <w:rsid w:val="005D0AE2"/>
    <w:rsid w:val="005D4961"/>
    <w:rsid w:val="005D4B9C"/>
    <w:rsid w:val="005E2B2A"/>
    <w:rsid w:val="005E3FA5"/>
    <w:rsid w:val="005E406C"/>
    <w:rsid w:val="005E433A"/>
    <w:rsid w:val="005F1A0C"/>
    <w:rsid w:val="005F1F92"/>
    <w:rsid w:val="005F2901"/>
    <w:rsid w:val="005F3DDF"/>
    <w:rsid w:val="005F5EC7"/>
    <w:rsid w:val="005F6811"/>
    <w:rsid w:val="005F6A6D"/>
    <w:rsid w:val="005F740D"/>
    <w:rsid w:val="006008E1"/>
    <w:rsid w:val="00601F8D"/>
    <w:rsid w:val="00605F82"/>
    <w:rsid w:val="00612644"/>
    <w:rsid w:val="00620066"/>
    <w:rsid w:val="006237FF"/>
    <w:rsid w:val="00623C8B"/>
    <w:rsid w:val="00624480"/>
    <w:rsid w:val="00625B8E"/>
    <w:rsid w:val="00627292"/>
    <w:rsid w:val="006307AA"/>
    <w:rsid w:val="00634425"/>
    <w:rsid w:val="0063490A"/>
    <w:rsid w:val="006357EE"/>
    <w:rsid w:val="0063728A"/>
    <w:rsid w:val="00637A3A"/>
    <w:rsid w:val="00642668"/>
    <w:rsid w:val="00643FC3"/>
    <w:rsid w:val="006440F4"/>
    <w:rsid w:val="006556F6"/>
    <w:rsid w:val="00656715"/>
    <w:rsid w:val="006570B3"/>
    <w:rsid w:val="006619B6"/>
    <w:rsid w:val="0066233A"/>
    <w:rsid w:val="00662D13"/>
    <w:rsid w:val="00663F03"/>
    <w:rsid w:val="0066724C"/>
    <w:rsid w:val="0066768B"/>
    <w:rsid w:val="00667FBE"/>
    <w:rsid w:val="0067100B"/>
    <w:rsid w:val="00673BAF"/>
    <w:rsid w:val="006778B7"/>
    <w:rsid w:val="00691ABF"/>
    <w:rsid w:val="00691BC5"/>
    <w:rsid w:val="006923BD"/>
    <w:rsid w:val="00693818"/>
    <w:rsid w:val="00694BAB"/>
    <w:rsid w:val="006950B2"/>
    <w:rsid w:val="006A0653"/>
    <w:rsid w:val="006A0DC2"/>
    <w:rsid w:val="006A2472"/>
    <w:rsid w:val="006A2512"/>
    <w:rsid w:val="006A6BCD"/>
    <w:rsid w:val="006A7B23"/>
    <w:rsid w:val="006B09C9"/>
    <w:rsid w:val="006B1B1C"/>
    <w:rsid w:val="006B2732"/>
    <w:rsid w:val="006B6580"/>
    <w:rsid w:val="006C01D3"/>
    <w:rsid w:val="006D0131"/>
    <w:rsid w:val="006D0799"/>
    <w:rsid w:val="006D1B5F"/>
    <w:rsid w:val="006D2085"/>
    <w:rsid w:val="006D2D4B"/>
    <w:rsid w:val="006D3786"/>
    <w:rsid w:val="006D4360"/>
    <w:rsid w:val="006D4E1A"/>
    <w:rsid w:val="006D5457"/>
    <w:rsid w:val="006E1304"/>
    <w:rsid w:val="006E32BC"/>
    <w:rsid w:val="006E43E6"/>
    <w:rsid w:val="006E46CA"/>
    <w:rsid w:val="006E54EE"/>
    <w:rsid w:val="006E5D9C"/>
    <w:rsid w:val="006E7187"/>
    <w:rsid w:val="006E7A4B"/>
    <w:rsid w:val="006E7BB1"/>
    <w:rsid w:val="007010FB"/>
    <w:rsid w:val="00702B58"/>
    <w:rsid w:val="00702BCC"/>
    <w:rsid w:val="00706530"/>
    <w:rsid w:val="007123B6"/>
    <w:rsid w:val="00712650"/>
    <w:rsid w:val="0071400A"/>
    <w:rsid w:val="00715141"/>
    <w:rsid w:val="00717795"/>
    <w:rsid w:val="007177FF"/>
    <w:rsid w:val="0072077D"/>
    <w:rsid w:val="0072083A"/>
    <w:rsid w:val="00722BF4"/>
    <w:rsid w:val="007255DC"/>
    <w:rsid w:val="007300B4"/>
    <w:rsid w:val="0073503D"/>
    <w:rsid w:val="00736649"/>
    <w:rsid w:val="00736A10"/>
    <w:rsid w:val="00737059"/>
    <w:rsid w:val="00741311"/>
    <w:rsid w:val="00741F62"/>
    <w:rsid w:val="00743EA9"/>
    <w:rsid w:val="00746484"/>
    <w:rsid w:val="00750788"/>
    <w:rsid w:val="00751398"/>
    <w:rsid w:val="00751C3E"/>
    <w:rsid w:val="007543DC"/>
    <w:rsid w:val="007544ED"/>
    <w:rsid w:val="0075501E"/>
    <w:rsid w:val="00756434"/>
    <w:rsid w:val="00760121"/>
    <w:rsid w:val="00760991"/>
    <w:rsid w:val="00765660"/>
    <w:rsid w:val="00765784"/>
    <w:rsid w:val="00765FB1"/>
    <w:rsid w:val="007662AE"/>
    <w:rsid w:val="007665C0"/>
    <w:rsid w:val="00771CA0"/>
    <w:rsid w:val="00771D98"/>
    <w:rsid w:val="00774D06"/>
    <w:rsid w:val="00781589"/>
    <w:rsid w:val="0078503E"/>
    <w:rsid w:val="00786BBE"/>
    <w:rsid w:val="00786F2E"/>
    <w:rsid w:val="00787703"/>
    <w:rsid w:val="0079051E"/>
    <w:rsid w:val="00792810"/>
    <w:rsid w:val="00794D0B"/>
    <w:rsid w:val="00796058"/>
    <w:rsid w:val="007A0F97"/>
    <w:rsid w:val="007A3614"/>
    <w:rsid w:val="007A420D"/>
    <w:rsid w:val="007A73AC"/>
    <w:rsid w:val="007B11B1"/>
    <w:rsid w:val="007B56B8"/>
    <w:rsid w:val="007B5C57"/>
    <w:rsid w:val="007B5CB5"/>
    <w:rsid w:val="007B75CD"/>
    <w:rsid w:val="007C08F1"/>
    <w:rsid w:val="007C1834"/>
    <w:rsid w:val="007C35C7"/>
    <w:rsid w:val="007C3A9A"/>
    <w:rsid w:val="007C5F1F"/>
    <w:rsid w:val="007D2757"/>
    <w:rsid w:val="007D5CAD"/>
    <w:rsid w:val="007D7A84"/>
    <w:rsid w:val="007E2A3B"/>
    <w:rsid w:val="007E3D05"/>
    <w:rsid w:val="007E6EBB"/>
    <w:rsid w:val="007F0C20"/>
    <w:rsid w:val="007F2F0C"/>
    <w:rsid w:val="00801120"/>
    <w:rsid w:val="00810CB9"/>
    <w:rsid w:val="00813997"/>
    <w:rsid w:val="00826BB1"/>
    <w:rsid w:val="008361D7"/>
    <w:rsid w:val="008362D3"/>
    <w:rsid w:val="0083714E"/>
    <w:rsid w:val="00841CDB"/>
    <w:rsid w:val="0084316F"/>
    <w:rsid w:val="00846A04"/>
    <w:rsid w:val="008578B9"/>
    <w:rsid w:val="00863BA8"/>
    <w:rsid w:val="0086510C"/>
    <w:rsid w:val="00866468"/>
    <w:rsid w:val="008671CD"/>
    <w:rsid w:val="00867BBB"/>
    <w:rsid w:val="0087080C"/>
    <w:rsid w:val="00872298"/>
    <w:rsid w:val="00872646"/>
    <w:rsid w:val="00874A7A"/>
    <w:rsid w:val="00877DCF"/>
    <w:rsid w:val="008800FD"/>
    <w:rsid w:val="00882977"/>
    <w:rsid w:val="00882CAE"/>
    <w:rsid w:val="00883240"/>
    <w:rsid w:val="0088370B"/>
    <w:rsid w:val="008847BD"/>
    <w:rsid w:val="008867D8"/>
    <w:rsid w:val="00891196"/>
    <w:rsid w:val="00892A6B"/>
    <w:rsid w:val="008A3A03"/>
    <w:rsid w:val="008A5F25"/>
    <w:rsid w:val="008B1DEB"/>
    <w:rsid w:val="008B2038"/>
    <w:rsid w:val="008B6BF9"/>
    <w:rsid w:val="008C62E0"/>
    <w:rsid w:val="008C77D1"/>
    <w:rsid w:val="008D0136"/>
    <w:rsid w:val="008D2A84"/>
    <w:rsid w:val="008D54E3"/>
    <w:rsid w:val="008D6E8A"/>
    <w:rsid w:val="008E29B9"/>
    <w:rsid w:val="008E2DBD"/>
    <w:rsid w:val="008E37D1"/>
    <w:rsid w:val="008E49C1"/>
    <w:rsid w:val="008E545A"/>
    <w:rsid w:val="008E7CFA"/>
    <w:rsid w:val="008F0516"/>
    <w:rsid w:val="008F0A0C"/>
    <w:rsid w:val="008F25E6"/>
    <w:rsid w:val="008F3250"/>
    <w:rsid w:val="008F66AA"/>
    <w:rsid w:val="00902C47"/>
    <w:rsid w:val="009122E1"/>
    <w:rsid w:val="00922E8E"/>
    <w:rsid w:val="009307F7"/>
    <w:rsid w:val="0093345A"/>
    <w:rsid w:val="00933F27"/>
    <w:rsid w:val="00940BB1"/>
    <w:rsid w:val="00942677"/>
    <w:rsid w:val="00942B50"/>
    <w:rsid w:val="00947B7F"/>
    <w:rsid w:val="00947F8E"/>
    <w:rsid w:val="00952E9A"/>
    <w:rsid w:val="00954C3E"/>
    <w:rsid w:val="00960D56"/>
    <w:rsid w:val="009646F3"/>
    <w:rsid w:val="00965F69"/>
    <w:rsid w:val="009673F3"/>
    <w:rsid w:val="00972DEF"/>
    <w:rsid w:val="009737D7"/>
    <w:rsid w:val="00974C13"/>
    <w:rsid w:val="00976C1F"/>
    <w:rsid w:val="00977B51"/>
    <w:rsid w:val="0098042F"/>
    <w:rsid w:val="00983E7C"/>
    <w:rsid w:val="0098437D"/>
    <w:rsid w:val="009907E3"/>
    <w:rsid w:val="009919DE"/>
    <w:rsid w:val="00991EEF"/>
    <w:rsid w:val="0099614B"/>
    <w:rsid w:val="009972A3"/>
    <w:rsid w:val="009A164C"/>
    <w:rsid w:val="009A1960"/>
    <w:rsid w:val="009A2707"/>
    <w:rsid w:val="009A3726"/>
    <w:rsid w:val="009A64DE"/>
    <w:rsid w:val="009A6606"/>
    <w:rsid w:val="009A7F12"/>
    <w:rsid w:val="009B4A72"/>
    <w:rsid w:val="009B6614"/>
    <w:rsid w:val="009B6D17"/>
    <w:rsid w:val="009B7405"/>
    <w:rsid w:val="009C2FD2"/>
    <w:rsid w:val="009C3BF7"/>
    <w:rsid w:val="009C7ACF"/>
    <w:rsid w:val="009C7F58"/>
    <w:rsid w:val="009D43E5"/>
    <w:rsid w:val="009D4423"/>
    <w:rsid w:val="009D4D15"/>
    <w:rsid w:val="009D6431"/>
    <w:rsid w:val="009D757A"/>
    <w:rsid w:val="009E21FF"/>
    <w:rsid w:val="009E60E5"/>
    <w:rsid w:val="009F0DB9"/>
    <w:rsid w:val="009F1FB5"/>
    <w:rsid w:val="009F26C3"/>
    <w:rsid w:val="00A00130"/>
    <w:rsid w:val="00A04DC9"/>
    <w:rsid w:val="00A06704"/>
    <w:rsid w:val="00A16192"/>
    <w:rsid w:val="00A16602"/>
    <w:rsid w:val="00A2080E"/>
    <w:rsid w:val="00A20C53"/>
    <w:rsid w:val="00A2238D"/>
    <w:rsid w:val="00A2269A"/>
    <w:rsid w:val="00A22880"/>
    <w:rsid w:val="00A2462F"/>
    <w:rsid w:val="00A3402F"/>
    <w:rsid w:val="00A345F8"/>
    <w:rsid w:val="00A35766"/>
    <w:rsid w:val="00A406F0"/>
    <w:rsid w:val="00A410CE"/>
    <w:rsid w:val="00A423AC"/>
    <w:rsid w:val="00A44A37"/>
    <w:rsid w:val="00A479C9"/>
    <w:rsid w:val="00A51279"/>
    <w:rsid w:val="00A512E3"/>
    <w:rsid w:val="00A5167E"/>
    <w:rsid w:val="00A54191"/>
    <w:rsid w:val="00A5473F"/>
    <w:rsid w:val="00A55038"/>
    <w:rsid w:val="00A61951"/>
    <w:rsid w:val="00A64C0B"/>
    <w:rsid w:val="00A66744"/>
    <w:rsid w:val="00A6797E"/>
    <w:rsid w:val="00A73060"/>
    <w:rsid w:val="00A73E8C"/>
    <w:rsid w:val="00A74048"/>
    <w:rsid w:val="00A76042"/>
    <w:rsid w:val="00A76219"/>
    <w:rsid w:val="00A803B9"/>
    <w:rsid w:val="00A82494"/>
    <w:rsid w:val="00A82D71"/>
    <w:rsid w:val="00A84558"/>
    <w:rsid w:val="00A84723"/>
    <w:rsid w:val="00A84DAA"/>
    <w:rsid w:val="00A850AB"/>
    <w:rsid w:val="00A85CBB"/>
    <w:rsid w:val="00A87700"/>
    <w:rsid w:val="00A90283"/>
    <w:rsid w:val="00A9137B"/>
    <w:rsid w:val="00AA2411"/>
    <w:rsid w:val="00AA294B"/>
    <w:rsid w:val="00AA3657"/>
    <w:rsid w:val="00AB2469"/>
    <w:rsid w:val="00AB41C0"/>
    <w:rsid w:val="00AB5D6C"/>
    <w:rsid w:val="00AB7C39"/>
    <w:rsid w:val="00AC5E90"/>
    <w:rsid w:val="00AD029E"/>
    <w:rsid w:val="00AD1F5F"/>
    <w:rsid w:val="00AE1D21"/>
    <w:rsid w:val="00AE2343"/>
    <w:rsid w:val="00AE4F0C"/>
    <w:rsid w:val="00AF1967"/>
    <w:rsid w:val="00AF5C94"/>
    <w:rsid w:val="00AF6253"/>
    <w:rsid w:val="00AF6E0A"/>
    <w:rsid w:val="00B029EB"/>
    <w:rsid w:val="00B03EE0"/>
    <w:rsid w:val="00B05861"/>
    <w:rsid w:val="00B06628"/>
    <w:rsid w:val="00B12F71"/>
    <w:rsid w:val="00B1400A"/>
    <w:rsid w:val="00B21E45"/>
    <w:rsid w:val="00B2504F"/>
    <w:rsid w:val="00B254CE"/>
    <w:rsid w:val="00B25888"/>
    <w:rsid w:val="00B26303"/>
    <w:rsid w:val="00B2768F"/>
    <w:rsid w:val="00B27CE1"/>
    <w:rsid w:val="00B30679"/>
    <w:rsid w:val="00B33878"/>
    <w:rsid w:val="00B35F5C"/>
    <w:rsid w:val="00B37D0C"/>
    <w:rsid w:val="00B42875"/>
    <w:rsid w:val="00B435C8"/>
    <w:rsid w:val="00B4373F"/>
    <w:rsid w:val="00B46F99"/>
    <w:rsid w:val="00B54784"/>
    <w:rsid w:val="00B54BE2"/>
    <w:rsid w:val="00B561A5"/>
    <w:rsid w:val="00B57B89"/>
    <w:rsid w:val="00B616E4"/>
    <w:rsid w:val="00B63EFA"/>
    <w:rsid w:val="00B654EB"/>
    <w:rsid w:val="00B65603"/>
    <w:rsid w:val="00B67970"/>
    <w:rsid w:val="00B70017"/>
    <w:rsid w:val="00B7129F"/>
    <w:rsid w:val="00B7493A"/>
    <w:rsid w:val="00B75001"/>
    <w:rsid w:val="00B75F15"/>
    <w:rsid w:val="00B7604E"/>
    <w:rsid w:val="00B76069"/>
    <w:rsid w:val="00B77C53"/>
    <w:rsid w:val="00B8082E"/>
    <w:rsid w:val="00B81BBB"/>
    <w:rsid w:val="00B8397F"/>
    <w:rsid w:val="00B84EBC"/>
    <w:rsid w:val="00B87FD4"/>
    <w:rsid w:val="00B90420"/>
    <w:rsid w:val="00B92941"/>
    <w:rsid w:val="00B93B95"/>
    <w:rsid w:val="00B93BAE"/>
    <w:rsid w:val="00B950EB"/>
    <w:rsid w:val="00B95B21"/>
    <w:rsid w:val="00BA015D"/>
    <w:rsid w:val="00BA135C"/>
    <w:rsid w:val="00BA2FE5"/>
    <w:rsid w:val="00BA3B74"/>
    <w:rsid w:val="00BA4DFE"/>
    <w:rsid w:val="00BA6F63"/>
    <w:rsid w:val="00BB28FC"/>
    <w:rsid w:val="00BB365C"/>
    <w:rsid w:val="00BB730D"/>
    <w:rsid w:val="00BC050B"/>
    <w:rsid w:val="00BC4FB0"/>
    <w:rsid w:val="00BC59A7"/>
    <w:rsid w:val="00BC5FCB"/>
    <w:rsid w:val="00BC60D4"/>
    <w:rsid w:val="00BD016B"/>
    <w:rsid w:val="00BD3C79"/>
    <w:rsid w:val="00BE01E6"/>
    <w:rsid w:val="00BE2274"/>
    <w:rsid w:val="00BE327F"/>
    <w:rsid w:val="00BE3B6D"/>
    <w:rsid w:val="00BE745B"/>
    <w:rsid w:val="00BF6B53"/>
    <w:rsid w:val="00BF730B"/>
    <w:rsid w:val="00C00BA5"/>
    <w:rsid w:val="00C00E7F"/>
    <w:rsid w:val="00C01431"/>
    <w:rsid w:val="00C027F2"/>
    <w:rsid w:val="00C075B1"/>
    <w:rsid w:val="00C11D17"/>
    <w:rsid w:val="00C1248A"/>
    <w:rsid w:val="00C13ADC"/>
    <w:rsid w:val="00C21A2D"/>
    <w:rsid w:val="00C2241B"/>
    <w:rsid w:val="00C22E67"/>
    <w:rsid w:val="00C27B43"/>
    <w:rsid w:val="00C27FFE"/>
    <w:rsid w:val="00C3025F"/>
    <w:rsid w:val="00C3160B"/>
    <w:rsid w:val="00C3289D"/>
    <w:rsid w:val="00C32C80"/>
    <w:rsid w:val="00C36140"/>
    <w:rsid w:val="00C3691A"/>
    <w:rsid w:val="00C439D2"/>
    <w:rsid w:val="00C454DF"/>
    <w:rsid w:val="00C51318"/>
    <w:rsid w:val="00C54EB6"/>
    <w:rsid w:val="00C57A71"/>
    <w:rsid w:val="00C61FC8"/>
    <w:rsid w:val="00C656F6"/>
    <w:rsid w:val="00C70007"/>
    <w:rsid w:val="00C740D0"/>
    <w:rsid w:val="00C74D64"/>
    <w:rsid w:val="00C755EE"/>
    <w:rsid w:val="00C807E4"/>
    <w:rsid w:val="00C81E9A"/>
    <w:rsid w:val="00C83EEA"/>
    <w:rsid w:val="00C85B6B"/>
    <w:rsid w:val="00C871A1"/>
    <w:rsid w:val="00C92C6F"/>
    <w:rsid w:val="00CA4FA6"/>
    <w:rsid w:val="00CA5D83"/>
    <w:rsid w:val="00CB0A51"/>
    <w:rsid w:val="00CB2B7E"/>
    <w:rsid w:val="00CB4CF4"/>
    <w:rsid w:val="00CB62B2"/>
    <w:rsid w:val="00CC028E"/>
    <w:rsid w:val="00CC6E41"/>
    <w:rsid w:val="00CD1BB4"/>
    <w:rsid w:val="00CD2F45"/>
    <w:rsid w:val="00CD74D7"/>
    <w:rsid w:val="00CD7BDA"/>
    <w:rsid w:val="00CD7F4B"/>
    <w:rsid w:val="00CE2CAB"/>
    <w:rsid w:val="00CE36D3"/>
    <w:rsid w:val="00CE7CFB"/>
    <w:rsid w:val="00CF0707"/>
    <w:rsid w:val="00CF17BD"/>
    <w:rsid w:val="00CF1BBA"/>
    <w:rsid w:val="00CF2142"/>
    <w:rsid w:val="00CF2596"/>
    <w:rsid w:val="00CF40EB"/>
    <w:rsid w:val="00CF64A2"/>
    <w:rsid w:val="00D02EE7"/>
    <w:rsid w:val="00D053DC"/>
    <w:rsid w:val="00D05A0A"/>
    <w:rsid w:val="00D05F36"/>
    <w:rsid w:val="00D073FD"/>
    <w:rsid w:val="00D1112D"/>
    <w:rsid w:val="00D11DD2"/>
    <w:rsid w:val="00D177EC"/>
    <w:rsid w:val="00D20D87"/>
    <w:rsid w:val="00D22F82"/>
    <w:rsid w:val="00D24F94"/>
    <w:rsid w:val="00D24F9C"/>
    <w:rsid w:val="00D27BDF"/>
    <w:rsid w:val="00D30F83"/>
    <w:rsid w:val="00D3280E"/>
    <w:rsid w:val="00D33CF1"/>
    <w:rsid w:val="00D36A0F"/>
    <w:rsid w:val="00D410E2"/>
    <w:rsid w:val="00D42D25"/>
    <w:rsid w:val="00D42E6D"/>
    <w:rsid w:val="00D45FF1"/>
    <w:rsid w:val="00D47F38"/>
    <w:rsid w:val="00D5151F"/>
    <w:rsid w:val="00D53E94"/>
    <w:rsid w:val="00D541E3"/>
    <w:rsid w:val="00D54359"/>
    <w:rsid w:val="00D54F9F"/>
    <w:rsid w:val="00D640F1"/>
    <w:rsid w:val="00D64863"/>
    <w:rsid w:val="00D70868"/>
    <w:rsid w:val="00D737CD"/>
    <w:rsid w:val="00D73DBA"/>
    <w:rsid w:val="00D759F5"/>
    <w:rsid w:val="00D77C8A"/>
    <w:rsid w:val="00D90495"/>
    <w:rsid w:val="00D92791"/>
    <w:rsid w:val="00DA23E4"/>
    <w:rsid w:val="00DA7F9C"/>
    <w:rsid w:val="00DB20AD"/>
    <w:rsid w:val="00DB21D4"/>
    <w:rsid w:val="00DB22BA"/>
    <w:rsid w:val="00DB22BF"/>
    <w:rsid w:val="00DB35CE"/>
    <w:rsid w:val="00DB38C7"/>
    <w:rsid w:val="00DB3DD6"/>
    <w:rsid w:val="00DB40F3"/>
    <w:rsid w:val="00DB48A8"/>
    <w:rsid w:val="00DB52F4"/>
    <w:rsid w:val="00DB5618"/>
    <w:rsid w:val="00DC044B"/>
    <w:rsid w:val="00DC49EB"/>
    <w:rsid w:val="00DC4E2C"/>
    <w:rsid w:val="00DD1C02"/>
    <w:rsid w:val="00DD2876"/>
    <w:rsid w:val="00DD2E7F"/>
    <w:rsid w:val="00DD363F"/>
    <w:rsid w:val="00DD4F8B"/>
    <w:rsid w:val="00DD5347"/>
    <w:rsid w:val="00DD64F2"/>
    <w:rsid w:val="00DD76ED"/>
    <w:rsid w:val="00DD78FC"/>
    <w:rsid w:val="00DE1862"/>
    <w:rsid w:val="00DE1F69"/>
    <w:rsid w:val="00DE4F5B"/>
    <w:rsid w:val="00DE60FC"/>
    <w:rsid w:val="00DF030A"/>
    <w:rsid w:val="00DF1EF2"/>
    <w:rsid w:val="00DF27B9"/>
    <w:rsid w:val="00DF554E"/>
    <w:rsid w:val="00DF7D7F"/>
    <w:rsid w:val="00E002A8"/>
    <w:rsid w:val="00E013FF"/>
    <w:rsid w:val="00E04FA9"/>
    <w:rsid w:val="00E0521C"/>
    <w:rsid w:val="00E054DF"/>
    <w:rsid w:val="00E15353"/>
    <w:rsid w:val="00E1728A"/>
    <w:rsid w:val="00E2002F"/>
    <w:rsid w:val="00E201E8"/>
    <w:rsid w:val="00E21B9C"/>
    <w:rsid w:val="00E26990"/>
    <w:rsid w:val="00E26B6D"/>
    <w:rsid w:val="00E31CCA"/>
    <w:rsid w:val="00E35A64"/>
    <w:rsid w:val="00E40AF5"/>
    <w:rsid w:val="00E437A2"/>
    <w:rsid w:val="00E439CC"/>
    <w:rsid w:val="00E45684"/>
    <w:rsid w:val="00E464B2"/>
    <w:rsid w:val="00E51436"/>
    <w:rsid w:val="00E538DC"/>
    <w:rsid w:val="00E540A5"/>
    <w:rsid w:val="00E5610E"/>
    <w:rsid w:val="00E630E8"/>
    <w:rsid w:val="00E63CC7"/>
    <w:rsid w:val="00E64D30"/>
    <w:rsid w:val="00E65FC9"/>
    <w:rsid w:val="00E6794A"/>
    <w:rsid w:val="00E72DB4"/>
    <w:rsid w:val="00E77397"/>
    <w:rsid w:val="00E858D8"/>
    <w:rsid w:val="00E866B3"/>
    <w:rsid w:val="00E86CB6"/>
    <w:rsid w:val="00E87172"/>
    <w:rsid w:val="00E926E6"/>
    <w:rsid w:val="00E95163"/>
    <w:rsid w:val="00E971FF"/>
    <w:rsid w:val="00EA0839"/>
    <w:rsid w:val="00EA164E"/>
    <w:rsid w:val="00EA6905"/>
    <w:rsid w:val="00EB70C5"/>
    <w:rsid w:val="00EC0740"/>
    <w:rsid w:val="00EC1424"/>
    <w:rsid w:val="00EC1CDF"/>
    <w:rsid w:val="00EC2B91"/>
    <w:rsid w:val="00EC3586"/>
    <w:rsid w:val="00EC41B7"/>
    <w:rsid w:val="00EC6706"/>
    <w:rsid w:val="00ED0EC1"/>
    <w:rsid w:val="00ED15DF"/>
    <w:rsid w:val="00ED2296"/>
    <w:rsid w:val="00ED4C94"/>
    <w:rsid w:val="00ED59E7"/>
    <w:rsid w:val="00EE3288"/>
    <w:rsid w:val="00EE3BC0"/>
    <w:rsid w:val="00EE45CD"/>
    <w:rsid w:val="00EE5C73"/>
    <w:rsid w:val="00EE6639"/>
    <w:rsid w:val="00EE7B09"/>
    <w:rsid w:val="00EF04C0"/>
    <w:rsid w:val="00EF22C8"/>
    <w:rsid w:val="00EF4A85"/>
    <w:rsid w:val="00EF6969"/>
    <w:rsid w:val="00EF73B5"/>
    <w:rsid w:val="00F00198"/>
    <w:rsid w:val="00F006E5"/>
    <w:rsid w:val="00F01151"/>
    <w:rsid w:val="00F01BAB"/>
    <w:rsid w:val="00F04178"/>
    <w:rsid w:val="00F1022D"/>
    <w:rsid w:val="00F10B37"/>
    <w:rsid w:val="00F11C2D"/>
    <w:rsid w:val="00F156B9"/>
    <w:rsid w:val="00F1774E"/>
    <w:rsid w:val="00F241FE"/>
    <w:rsid w:val="00F320DC"/>
    <w:rsid w:val="00F32DBE"/>
    <w:rsid w:val="00F334D6"/>
    <w:rsid w:val="00F3417E"/>
    <w:rsid w:val="00F36472"/>
    <w:rsid w:val="00F36B4C"/>
    <w:rsid w:val="00F41DEC"/>
    <w:rsid w:val="00F442FC"/>
    <w:rsid w:val="00F46CBF"/>
    <w:rsid w:val="00F47E8F"/>
    <w:rsid w:val="00F52A25"/>
    <w:rsid w:val="00F5538F"/>
    <w:rsid w:val="00F55FBD"/>
    <w:rsid w:val="00F601E8"/>
    <w:rsid w:val="00F66DBC"/>
    <w:rsid w:val="00F72908"/>
    <w:rsid w:val="00F80CAC"/>
    <w:rsid w:val="00F813B7"/>
    <w:rsid w:val="00F840B5"/>
    <w:rsid w:val="00F85778"/>
    <w:rsid w:val="00F86F36"/>
    <w:rsid w:val="00F90C68"/>
    <w:rsid w:val="00F922B9"/>
    <w:rsid w:val="00F93ADD"/>
    <w:rsid w:val="00F942CE"/>
    <w:rsid w:val="00F969AF"/>
    <w:rsid w:val="00FA4454"/>
    <w:rsid w:val="00FA4CC0"/>
    <w:rsid w:val="00FA4DD7"/>
    <w:rsid w:val="00FA4F71"/>
    <w:rsid w:val="00FA578E"/>
    <w:rsid w:val="00FB70B6"/>
    <w:rsid w:val="00FC79F4"/>
    <w:rsid w:val="00FD00AA"/>
    <w:rsid w:val="00FD19C0"/>
    <w:rsid w:val="00FD2907"/>
    <w:rsid w:val="00FD379C"/>
    <w:rsid w:val="00FD52E2"/>
    <w:rsid w:val="00FD79A3"/>
    <w:rsid w:val="00FD7FFC"/>
    <w:rsid w:val="00FE109E"/>
    <w:rsid w:val="00FE1F54"/>
    <w:rsid w:val="00FE36D2"/>
    <w:rsid w:val="00FE4983"/>
    <w:rsid w:val="00FE788A"/>
    <w:rsid w:val="00FF4F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68D4E0"/>
  <w15:docId w15:val="{768A023C-D9FD-4F4A-9E76-3C8A534F0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outlineLvl w:val="2"/>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Emphasis">
    <w:name w:val="Emphasis"/>
    <w:uiPriority w:val="20"/>
    <w:qFormat/>
    <w:rsid w:val="000F7B11"/>
    <w:rPr>
      <w:i/>
      <w:iCs/>
    </w:rPr>
  </w:style>
  <w:style w:type="paragraph" w:customStyle="1" w:styleId="Default">
    <w:name w:val="Default"/>
    <w:rsid w:val="00CF2596"/>
    <w:pPr>
      <w:autoSpaceDE w:val="0"/>
      <w:autoSpaceDN w:val="0"/>
      <w:adjustRightInd w:val="0"/>
    </w:pPr>
    <w:rPr>
      <w:color w:val="000000"/>
      <w:sz w:val="24"/>
      <w:szCs w:val="24"/>
    </w:rPr>
  </w:style>
  <w:style w:type="paragraph" w:styleId="FootnoteText">
    <w:name w:val="footnote text"/>
    <w:basedOn w:val="Normal"/>
    <w:link w:val="FootnoteTextChar"/>
    <w:uiPriority w:val="99"/>
    <w:semiHidden/>
    <w:unhideWhenUsed/>
    <w:rsid w:val="00D24F9C"/>
    <w:rPr>
      <w:sz w:val="20"/>
    </w:rPr>
  </w:style>
  <w:style w:type="character" w:customStyle="1" w:styleId="FootnoteTextChar">
    <w:name w:val="Footnote Text Char"/>
    <w:basedOn w:val="DefaultParagraphFont"/>
    <w:link w:val="FootnoteText"/>
    <w:uiPriority w:val="99"/>
    <w:semiHidden/>
    <w:rsid w:val="00D24F9C"/>
  </w:style>
  <w:style w:type="character" w:styleId="FootnoteReference">
    <w:name w:val="footnote reference"/>
    <w:basedOn w:val="DefaultParagraphFont"/>
    <w:uiPriority w:val="99"/>
    <w:semiHidden/>
    <w:unhideWhenUsed/>
    <w:rsid w:val="00D24F9C"/>
    <w:rPr>
      <w:vertAlign w:val="superscript"/>
    </w:rPr>
  </w:style>
  <w:style w:type="character" w:styleId="Hyperlink">
    <w:name w:val="Hyperlink"/>
    <w:basedOn w:val="DefaultParagraphFont"/>
    <w:uiPriority w:val="99"/>
    <w:unhideWhenUsed/>
    <w:rsid w:val="00352010"/>
    <w:rPr>
      <w:color w:val="0000FF" w:themeColor="hyperlink"/>
      <w:u w:val="single"/>
    </w:rPr>
  </w:style>
  <w:style w:type="paragraph" w:styleId="BalloonText">
    <w:name w:val="Balloon Text"/>
    <w:basedOn w:val="Normal"/>
    <w:link w:val="BalloonTextChar"/>
    <w:uiPriority w:val="99"/>
    <w:semiHidden/>
    <w:unhideWhenUsed/>
    <w:rsid w:val="00656715"/>
    <w:rPr>
      <w:sz w:val="26"/>
      <w:szCs w:val="26"/>
    </w:rPr>
  </w:style>
  <w:style w:type="character" w:customStyle="1" w:styleId="BalloonTextChar">
    <w:name w:val="Balloon Text Char"/>
    <w:basedOn w:val="DefaultParagraphFont"/>
    <w:link w:val="BalloonText"/>
    <w:uiPriority w:val="99"/>
    <w:semiHidden/>
    <w:rsid w:val="00656715"/>
    <w:rPr>
      <w:sz w:val="26"/>
      <w:szCs w:val="26"/>
    </w:rPr>
  </w:style>
  <w:style w:type="character" w:styleId="CommentReference">
    <w:name w:val="annotation reference"/>
    <w:basedOn w:val="DefaultParagraphFont"/>
    <w:uiPriority w:val="99"/>
    <w:semiHidden/>
    <w:unhideWhenUsed/>
    <w:rsid w:val="00656715"/>
    <w:rPr>
      <w:sz w:val="16"/>
      <w:szCs w:val="16"/>
    </w:rPr>
  </w:style>
  <w:style w:type="paragraph" w:styleId="CommentText">
    <w:name w:val="annotation text"/>
    <w:basedOn w:val="Normal"/>
    <w:link w:val="CommentTextChar"/>
    <w:uiPriority w:val="99"/>
    <w:semiHidden/>
    <w:unhideWhenUsed/>
    <w:rsid w:val="00656715"/>
    <w:rPr>
      <w:sz w:val="20"/>
    </w:rPr>
  </w:style>
  <w:style w:type="character" w:customStyle="1" w:styleId="CommentTextChar">
    <w:name w:val="Comment Text Char"/>
    <w:basedOn w:val="DefaultParagraphFont"/>
    <w:link w:val="CommentText"/>
    <w:uiPriority w:val="99"/>
    <w:semiHidden/>
    <w:rsid w:val="00656715"/>
  </w:style>
  <w:style w:type="paragraph" w:styleId="CommentSubject">
    <w:name w:val="annotation subject"/>
    <w:basedOn w:val="CommentText"/>
    <w:next w:val="CommentText"/>
    <w:link w:val="CommentSubjectChar"/>
    <w:uiPriority w:val="99"/>
    <w:semiHidden/>
    <w:unhideWhenUsed/>
    <w:rsid w:val="00656715"/>
    <w:rPr>
      <w:b/>
      <w:bCs/>
    </w:rPr>
  </w:style>
  <w:style w:type="character" w:customStyle="1" w:styleId="CommentSubjectChar">
    <w:name w:val="Comment Subject Char"/>
    <w:basedOn w:val="CommentTextChar"/>
    <w:link w:val="CommentSubject"/>
    <w:uiPriority w:val="99"/>
    <w:semiHidden/>
    <w:rsid w:val="00656715"/>
    <w:rPr>
      <w:b/>
      <w:bCs/>
    </w:rPr>
  </w:style>
  <w:style w:type="paragraph" w:styleId="HTMLAddress">
    <w:name w:val="HTML Address"/>
    <w:basedOn w:val="z-TopofForm"/>
    <w:link w:val="HTMLAddressChar"/>
    <w:rsid w:val="00F46CBF"/>
    <w:pPr>
      <w:pBdr>
        <w:bottom w:val="none" w:sz="0" w:space="0" w:color="auto"/>
      </w:pBdr>
      <w:jc w:val="left"/>
    </w:pPr>
    <w:rPr>
      <w:rFonts w:ascii="Times New Roman" w:hAnsi="Times New Roman" w:cs="Times New Roman"/>
      <w:vanish w:val="0"/>
      <w:sz w:val="24"/>
      <w:szCs w:val="20"/>
      <w:lang w:val="en-US" w:eastAsia="en-US"/>
    </w:rPr>
  </w:style>
  <w:style w:type="character" w:customStyle="1" w:styleId="HTMLAddressChar">
    <w:name w:val="HTML Address Char"/>
    <w:basedOn w:val="DefaultParagraphFont"/>
    <w:link w:val="HTMLAddress"/>
    <w:rsid w:val="00F46CBF"/>
    <w:rPr>
      <w:sz w:val="24"/>
      <w:lang w:val="en-US" w:eastAsia="en-US"/>
    </w:rPr>
  </w:style>
  <w:style w:type="paragraph" w:styleId="z-TopofForm">
    <w:name w:val="HTML Top of Form"/>
    <w:basedOn w:val="Normal"/>
    <w:next w:val="Normal"/>
    <w:link w:val="z-TopofFormChar"/>
    <w:hidden/>
    <w:uiPriority w:val="99"/>
    <w:semiHidden/>
    <w:unhideWhenUsed/>
    <w:rsid w:val="00F46CBF"/>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F46CBF"/>
    <w:rPr>
      <w:rFonts w:ascii="Arial" w:hAnsi="Arial" w:cs="Arial"/>
      <w:vanish/>
      <w:sz w:val="16"/>
      <w:szCs w:val="16"/>
    </w:rPr>
  </w:style>
  <w:style w:type="character" w:customStyle="1" w:styleId="UnresolvedMention1">
    <w:name w:val="Unresolved Mention1"/>
    <w:basedOn w:val="DefaultParagraphFont"/>
    <w:uiPriority w:val="99"/>
    <w:semiHidden/>
    <w:unhideWhenUsed/>
    <w:rsid w:val="00226640"/>
    <w:rPr>
      <w:color w:val="808080"/>
      <w:shd w:val="clear" w:color="auto" w:fill="E6E6E6"/>
    </w:rPr>
  </w:style>
  <w:style w:type="paragraph" w:styleId="Header">
    <w:name w:val="header"/>
    <w:basedOn w:val="Normal"/>
    <w:link w:val="HeaderChar"/>
    <w:uiPriority w:val="99"/>
    <w:unhideWhenUsed/>
    <w:rsid w:val="00CD7BDA"/>
    <w:pPr>
      <w:tabs>
        <w:tab w:val="center" w:pos="4513"/>
        <w:tab w:val="right" w:pos="9026"/>
      </w:tabs>
    </w:pPr>
  </w:style>
  <w:style w:type="character" w:customStyle="1" w:styleId="HeaderChar">
    <w:name w:val="Header Char"/>
    <w:basedOn w:val="DefaultParagraphFont"/>
    <w:link w:val="Header"/>
    <w:uiPriority w:val="99"/>
    <w:rsid w:val="00CD7BD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9054592">
      <w:bodyDiv w:val="1"/>
      <w:marLeft w:val="0"/>
      <w:marRight w:val="0"/>
      <w:marTop w:val="0"/>
      <w:marBottom w:val="0"/>
      <w:divBdr>
        <w:top w:val="none" w:sz="0" w:space="0" w:color="auto"/>
        <w:left w:val="none" w:sz="0" w:space="0" w:color="auto"/>
        <w:bottom w:val="none" w:sz="0" w:space="0" w:color="auto"/>
        <w:right w:val="none" w:sz="0" w:space="0" w:color="auto"/>
      </w:divBdr>
    </w:div>
    <w:div w:id="1397897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www.crsbi.ac.uk/site/3258/" TargetMode="External"/><Relationship Id="rId2" Type="http://schemas.openxmlformats.org/officeDocument/2006/relationships/hyperlink" Target="http://www.odnb.com" TargetMode="External"/><Relationship Id="rId1" Type="http://schemas.openxmlformats.org/officeDocument/2006/relationships/hyperlink" Target="http://www.odnb.com" TargetMode="External"/><Relationship Id="rId6" Type="http://schemas.openxmlformats.org/officeDocument/2006/relationships/hyperlink" Target="http://www.sarumcustomary.org.uk" TargetMode="External"/><Relationship Id="rId5" Type="http://schemas.openxmlformats.org/officeDocument/2006/relationships/hyperlink" Target="http://www.sarumcustomary.org.uk" TargetMode="External"/><Relationship Id="rId4" Type="http://schemas.openxmlformats.org/officeDocument/2006/relationships/hyperlink" Target="http://www.sarumcustomary.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6F766319-957E-0448-8A7E-495B60E8C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25</Pages>
  <Words>7427</Words>
  <Characters>42340</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CHURCH FARM, BRINGHURST</vt:lpstr>
    </vt:vector>
  </TitlesOfParts>
  <Company>,</Company>
  <LinksUpToDate>false</LinksUpToDate>
  <CharactersWithSpaces>49668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CHURCH FARM, BRINGHURST</dc:title>
  <dc:creator>Hill</dc:creator>
  <cp:lastModifiedBy>Mark Gardiner</cp:lastModifiedBy>
  <cp:revision>6</cp:revision>
  <cp:lastPrinted>2003-11-23T10:58:00Z</cp:lastPrinted>
  <dcterms:created xsi:type="dcterms:W3CDTF">2019-07-24T14:27:00Z</dcterms:created>
  <dcterms:modified xsi:type="dcterms:W3CDTF">2019-07-26T08:00:00Z</dcterms:modified>
</cp:coreProperties>
</file>