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57190" w14:textId="1E7E036A" w:rsidR="00F4690E" w:rsidRPr="005E4A3E" w:rsidRDefault="00C64E09" w:rsidP="00732322">
      <w:pPr>
        <w:spacing w:line="480" w:lineRule="auto"/>
        <w:rPr>
          <w:rFonts w:ascii="Times New Roman" w:hAnsi="Times New Roman" w:cs="Times New Roman"/>
          <w:b/>
          <w:sz w:val="32"/>
          <w:szCs w:val="32"/>
          <w:lang w:val="en-IE"/>
        </w:rPr>
      </w:pPr>
      <w:r>
        <w:rPr>
          <w:rFonts w:ascii="Times New Roman" w:hAnsi="Times New Roman" w:cs="Times New Roman"/>
          <w:b/>
          <w:sz w:val="32"/>
          <w:szCs w:val="32"/>
          <w:lang w:val="en-IE"/>
        </w:rPr>
        <w:t xml:space="preserve">The New Urban Social History? urban </w:t>
      </w:r>
      <w:r w:rsidR="00735016">
        <w:rPr>
          <w:rFonts w:ascii="Times New Roman" w:hAnsi="Times New Roman" w:cs="Times New Roman"/>
          <w:b/>
          <w:sz w:val="32"/>
          <w:szCs w:val="32"/>
          <w:lang w:val="en-IE"/>
        </w:rPr>
        <w:t>development and governance</w:t>
      </w:r>
      <w:r w:rsidR="00F4690E" w:rsidRPr="005E4A3E">
        <w:rPr>
          <w:rFonts w:ascii="Times New Roman" w:hAnsi="Times New Roman" w:cs="Times New Roman"/>
          <w:b/>
          <w:sz w:val="32"/>
          <w:szCs w:val="32"/>
          <w:lang w:val="en-IE"/>
        </w:rPr>
        <w:t xml:space="preserve"> in post-war Britain</w:t>
      </w:r>
    </w:p>
    <w:p w14:paraId="79A27E85" w14:textId="77777777" w:rsidR="00F4690E" w:rsidRPr="005E4A3E" w:rsidRDefault="00F4690E" w:rsidP="00732322">
      <w:pPr>
        <w:spacing w:line="480" w:lineRule="auto"/>
        <w:rPr>
          <w:rFonts w:ascii="Times New Roman" w:hAnsi="Times New Roman" w:cs="Times New Roman"/>
          <w:sz w:val="32"/>
          <w:szCs w:val="32"/>
          <w:lang w:val="en-IE"/>
        </w:rPr>
      </w:pPr>
      <w:r w:rsidRPr="005E4A3E">
        <w:rPr>
          <w:rFonts w:ascii="Times New Roman" w:hAnsi="Times New Roman" w:cs="Times New Roman"/>
          <w:sz w:val="32"/>
          <w:szCs w:val="32"/>
          <w:lang w:val="en-IE"/>
        </w:rPr>
        <w:t>James Greenhalgh</w:t>
      </w:r>
    </w:p>
    <w:p w14:paraId="69DCB305" w14:textId="77777777" w:rsidR="00F4690E" w:rsidRPr="005E4A3E" w:rsidRDefault="00F4690E" w:rsidP="00732322">
      <w:pPr>
        <w:spacing w:line="480" w:lineRule="auto"/>
        <w:rPr>
          <w:rFonts w:ascii="Times New Roman" w:hAnsi="Times New Roman" w:cs="Times New Roman"/>
          <w:lang w:val="en-IE"/>
        </w:rPr>
      </w:pPr>
      <w:r w:rsidRPr="005E4A3E">
        <w:rPr>
          <w:rFonts w:ascii="Times New Roman" w:hAnsi="Times New Roman" w:cs="Times New Roman"/>
          <w:lang w:val="en-IE"/>
        </w:rPr>
        <w:t xml:space="preserve">University of Lincoln, </w:t>
      </w:r>
      <w:proofErr w:type="spellStart"/>
      <w:r w:rsidRPr="005E4A3E">
        <w:rPr>
          <w:rFonts w:ascii="Times New Roman" w:hAnsi="Times New Roman" w:cs="Times New Roman"/>
          <w:lang w:val="en-IE"/>
        </w:rPr>
        <w:t>Brayford</w:t>
      </w:r>
      <w:proofErr w:type="spellEnd"/>
      <w:r w:rsidRPr="005E4A3E">
        <w:rPr>
          <w:rFonts w:ascii="Times New Roman" w:hAnsi="Times New Roman" w:cs="Times New Roman"/>
          <w:lang w:val="en-IE"/>
        </w:rPr>
        <w:t xml:space="preserve"> Campus, Lincoln LN6 7TS</w:t>
      </w:r>
    </w:p>
    <w:p w14:paraId="52CCA6A6" w14:textId="77777777" w:rsidR="00F4690E" w:rsidRPr="005E4A3E" w:rsidRDefault="00F4690E" w:rsidP="00732322">
      <w:pPr>
        <w:spacing w:line="480" w:lineRule="auto"/>
        <w:jc w:val="both"/>
        <w:rPr>
          <w:rFonts w:ascii="Times New Roman" w:hAnsi="Times New Roman" w:cs="Times New Roman"/>
          <w:lang w:val="en-IE"/>
        </w:rPr>
      </w:pPr>
    </w:p>
    <w:p w14:paraId="41918CC7" w14:textId="0F2C4AAB" w:rsidR="004F2928" w:rsidRPr="005E4A3E" w:rsidRDefault="00BB0F06" w:rsidP="00732322">
      <w:pPr>
        <w:spacing w:line="480" w:lineRule="auto"/>
        <w:jc w:val="both"/>
        <w:rPr>
          <w:rFonts w:ascii="Times New Roman" w:hAnsi="Times New Roman" w:cs="Times New Roman"/>
        </w:rPr>
      </w:pPr>
      <w:r w:rsidRPr="005E4A3E">
        <w:rPr>
          <w:rFonts w:ascii="Times New Roman" w:hAnsi="Times New Roman" w:cs="Times New Roman"/>
        </w:rPr>
        <w:t xml:space="preserve">The </w:t>
      </w:r>
      <w:r w:rsidR="00A82CD1">
        <w:rPr>
          <w:rFonts w:ascii="Times New Roman" w:hAnsi="Times New Roman" w:cs="Times New Roman"/>
        </w:rPr>
        <w:t>efforts</w:t>
      </w:r>
      <w:r w:rsidR="00CB6B50" w:rsidRPr="005E4A3E">
        <w:rPr>
          <w:rFonts w:ascii="Times New Roman" w:hAnsi="Times New Roman" w:cs="Times New Roman"/>
        </w:rPr>
        <w:t xml:space="preserve"> to ‘reconstruct’ and later ‘renew’</w:t>
      </w:r>
      <w:r w:rsidR="006E6A8F">
        <w:rPr>
          <w:rStyle w:val="FootnoteReference"/>
          <w:rFonts w:ascii="Times New Roman" w:hAnsi="Times New Roman" w:cs="Times New Roman"/>
        </w:rPr>
        <w:footnoteReference w:id="1"/>
      </w:r>
      <w:r w:rsidR="0045579A" w:rsidRPr="005E4A3E">
        <w:rPr>
          <w:rFonts w:ascii="Times New Roman" w:hAnsi="Times New Roman" w:cs="Times New Roman"/>
        </w:rPr>
        <w:t xml:space="preserve"> British cities</w:t>
      </w:r>
      <w:r w:rsidR="00CB6B50" w:rsidRPr="005E4A3E">
        <w:rPr>
          <w:rFonts w:ascii="Times New Roman" w:hAnsi="Times New Roman" w:cs="Times New Roman"/>
        </w:rPr>
        <w:t xml:space="preserve"> in</w:t>
      </w:r>
      <w:r w:rsidR="0045579A" w:rsidRPr="005E4A3E">
        <w:rPr>
          <w:rFonts w:ascii="Times New Roman" w:hAnsi="Times New Roman" w:cs="Times New Roman"/>
        </w:rPr>
        <w:t xml:space="preserve"> the</w:t>
      </w:r>
      <w:r w:rsidR="00B519E6" w:rsidRPr="005E4A3E">
        <w:rPr>
          <w:rFonts w:ascii="Times New Roman" w:hAnsi="Times New Roman" w:cs="Times New Roman"/>
        </w:rPr>
        <w:t xml:space="preserve"> decades </w:t>
      </w:r>
      <w:r w:rsidR="00CB6B50" w:rsidRPr="005E4A3E">
        <w:rPr>
          <w:rFonts w:ascii="Times New Roman" w:hAnsi="Times New Roman" w:cs="Times New Roman"/>
        </w:rPr>
        <w:t>that followed the</w:t>
      </w:r>
      <w:r w:rsidRPr="005E4A3E">
        <w:rPr>
          <w:rFonts w:ascii="Times New Roman" w:hAnsi="Times New Roman" w:cs="Times New Roman"/>
        </w:rPr>
        <w:t xml:space="preserve"> Second World War </w:t>
      </w:r>
      <w:r w:rsidR="00CB6B50" w:rsidRPr="005E4A3E">
        <w:rPr>
          <w:rFonts w:ascii="Times New Roman" w:hAnsi="Times New Roman" w:cs="Times New Roman"/>
        </w:rPr>
        <w:t>remain</w:t>
      </w:r>
      <w:r w:rsidRPr="005E4A3E">
        <w:rPr>
          <w:rFonts w:ascii="Times New Roman" w:hAnsi="Times New Roman" w:cs="Times New Roman"/>
        </w:rPr>
        <w:t xml:space="preserve">, despite </w:t>
      </w:r>
      <w:r w:rsidR="000743D5" w:rsidRPr="005E4A3E">
        <w:rPr>
          <w:rFonts w:ascii="Times New Roman" w:hAnsi="Times New Roman" w:cs="Times New Roman"/>
        </w:rPr>
        <w:t>a considerable body of existing</w:t>
      </w:r>
      <w:r w:rsidRPr="005E4A3E">
        <w:rPr>
          <w:rFonts w:ascii="Times New Roman" w:hAnsi="Times New Roman" w:cs="Times New Roman"/>
        </w:rPr>
        <w:t xml:space="preserve"> </w:t>
      </w:r>
      <w:r w:rsidR="000743D5" w:rsidRPr="005E4A3E">
        <w:rPr>
          <w:rFonts w:ascii="Times New Roman" w:hAnsi="Times New Roman" w:cs="Times New Roman"/>
        </w:rPr>
        <w:t>scholarship</w:t>
      </w:r>
      <w:r w:rsidRPr="005E4A3E">
        <w:rPr>
          <w:rFonts w:ascii="Times New Roman" w:hAnsi="Times New Roman" w:cs="Times New Roman"/>
        </w:rPr>
        <w:t>,</w:t>
      </w:r>
      <w:r w:rsidR="00E22D28" w:rsidRPr="005E4A3E">
        <w:rPr>
          <w:rFonts w:ascii="Times New Roman" w:hAnsi="Times New Roman" w:cs="Times New Roman"/>
        </w:rPr>
        <w:t xml:space="preserve"> </w:t>
      </w:r>
      <w:r w:rsidR="000743D5" w:rsidRPr="005E4A3E">
        <w:rPr>
          <w:rFonts w:ascii="Times New Roman" w:hAnsi="Times New Roman" w:cs="Times New Roman"/>
        </w:rPr>
        <w:t>a popular subject of</w:t>
      </w:r>
      <w:r w:rsidR="00DE2C24" w:rsidRPr="005E4A3E">
        <w:rPr>
          <w:rFonts w:ascii="Times New Roman" w:hAnsi="Times New Roman" w:cs="Times New Roman"/>
        </w:rPr>
        <w:t xml:space="preserve"> investigation</w:t>
      </w:r>
      <w:r w:rsidR="00CB6B50" w:rsidRPr="005E4A3E">
        <w:rPr>
          <w:rFonts w:ascii="Times New Roman" w:hAnsi="Times New Roman" w:cs="Times New Roman"/>
        </w:rPr>
        <w:t xml:space="preserve"> amongst urban and architectural historians, town planners and geographers</w:t>
      </w:r>
      <w:r w:rsidR="00E22D28" w:rsidRPr="005E4A3E">
        <w:rPr>
          <w:rFonts w:ascii="Times New Roman" w:hAnsi="Times New Roman" w:cs="Times New Roman"/>
        </w:rPr>
        <w:t>.</w:t>
      </w:r>
      <w:r w:rsidR="00E22D28" w:rsidRPr="005E4A3E">
        <w:rPr>
          <w:rStyle w:val="FootnoteReference"/>
          <w:rFonts w:ascii="Times New Roman" w:hAnsi="Times New Roman" w:cs="Times New Roman"/>
        </w:rPr>
        <w:footnoteReference w:id="2"/>
      </w:r>
      <w:r w:rsidR="004B42A3" w:rsidRPr="005E4A3E">
        <w:rPr>
          <w:rFonts w:ascii="Times New Roman" w:hAnsi="Times New Roman" w:cs="Times New Roman"/>
        </w:rPr>
        <w:t xml:space="preserve"> A well-established</w:t>
      </w:r>
      <w:r w:rsidRPr="005E4A3E">
        <w:rPr>
          <w:rFonts w:ascii="Times New Roman" w:hAnsi="Times New Roman" w:cs="Times New Roman"/>
        </w:rPr>
        <w:t xml:space="preserve"> </w:t>
      </w:r>
      <w:r w:rsidR="000743D5" w:rsidRPr="005E4A3E">
        <w:rPr>
          <w:rFonts w:ascii="Times New Roman" w:hAnsi="Times New Roman" w:cs="Times New Roman"/>
        </w:rPr>
        <w:t>historiography</w:t>
      </w:r>
      <w:r w:rsidR="00C676C7" w:rsidRPr="005E4A3E">
        <w:rPr>
          <w:rFonts w:ascii="Times New Roman" w:hAnsi="Times New Roman" w:cs="Times New Roman"/>
        </w:rPr>
        <w:t xml:space="preserve"> has</w:t>
      </w:r>
      <w:r w:rsidR="000743D5" w:rsidRPr="005E4A3E">
        <w:rPr>
          <w:rFonts w:ascii="Times New Roman" w:hAnsi="Times New Roman" w:cs="Times New Roman"/>
        </w:rPr>
        <w:t>, over the last forty years,</w:t>
      </w:r>
      <w:r w:rsidR="00C676C7" w:rsidRPr="005E4A3E">
        <w:rPr>
          <w:rFonts w:ascii="Times New Roman" w:hAnsi="Times New Roman" w:cs="Times New Roman"/>
        </w:rPr>
        <w:t xml:space="preserve"> </w:t>
      </w:r>
      <w:r w:rsidR="004B42A3" w:rsidRPr="005E4A3E">
        <w:rPr>
          <w:rFonts w:ascii="Times New Roman" w:hAnsi="Times New Roman" w:cs="Times New Roman"/>
        </w:rPr>
        <w:t>narrated the emergence and eventual collapse</w:t>
      </w:r>
      <w:r w:rsidRPr="005E4A3E">
        <w:rPr>
          <w:rFonts w:ascii="Times New Roman" w:hAnsi="Times New Roman" w:cs="Times New Roman"/>
        </w:rPr>
        <w:t xml:space="preserve"> of </w:t>
      </w:r>
      <w:r w:rsidR="00196B02">
        <w:rPr>
          <w:rFonts w:ascii="Times New Roman" w:hAnsi="Times New Roman" w:cs="Times New Roman"/>
        </w:rPr>
        <w:t xml:space="preserve">attempts </w:t>
      </w:r>
      <w:r w:rsidR="00BA3F42" w:rsidRPr="005E4A3E">
        <w:rPr>
          <w:rFonts w:ascii="Times New Roman" w:hAnsi="Times New Roman" w:cs="Times New Roman"/>
        </w:rPr>
        <w:t xml:space="preserve">to </w:t>
      </w:r>
      <w:r w:rsidR="00196B02">
        <w:rPr>
          <w:rFonts w:ascii="Times New Roman" w:hAnsi="Times New Roman" w:cs="Times New Roman"/>
        </w:rPr>
        <w:t xml:space="preserve">both </w:t>
      </w:r>
      <w:r w:rsidR="00BA3F42" w:rsidRPr="005E4A3E">
        <w:rPr>
          <w:rFonts w:ascii="Times New Roman" w:hAnsi="Times New Roman" w:cs="Times New Roman"/>
        </w:rPr>
        <w:t>remake decrepit</w:t>
      </w:r>
      <w:r w:rsidRPr="005E4A3E">
        <w:rPr>
          <w:rFonts w:ascii="Times New Roman" w:hAnsi="Times New Roman" w:cs="Times New Roman"/>
        </w:rPr>
        <w:t xml:space="preserve"> Victorian cities</w:t>
      </w:r>
      <w:r w:rsidR="00196B02">
        <w:rPr>
          <w:rFonts w:ascii="Times New Roman" w:hAnsi="Times New Roman" w:cs="Times New Roman"/>
        </w:rPr>
        <w:t xml:space="preserve"> and create new towns from scratch</w:t>
      </w:r>
      <w:r w:rsidR="00C676C7" w:rsidRPr="005E4A3E">
        <w:rPr>
          <w:rFonts w:ascii="Times New Roman" w:hAnsi="Times New Roman" w:cs="Times New Roman"/>
        </w:rPr>
        <w:t>.</w:t>
      </w:r>
      <w:r w:rsidR="000743D5" w:rsidRPr="005E4A3E">
        <w:rPr>
          <w:rStyle w:val="FootnoteReference"/>
          <w:rFonts w:ascii="Times New Roman" w:hAnsi="Times New Roman" w:cs="Times New Roman"/>
        </w:rPr>
        <w:footnoteReference w:id="3"/>
      </w:r>
      <w:r w:rsidR="00C676C7" w:rsidRPr="005E4A3E">
        <w:rPr>
          <w:rFonts w:ascii="Times New Roman" w:hAnsi="Times New Roman" w:cs="Times New Roman"/>
        </w:rPr>
        <w:t xml:space="preserve"> These histories </w:t>
      </w:r>
      <w:r w:rsidR="0045579A" w:rsidRPr="005E4A3E">
        <w:rPr>
          <w:rFonts w:ascii="Times New Roman" w:hAnsi="Times New Roman" w:cs="Times New Roman"/>
        </w:rPr>
        <w:t>have traced</w:t>
      </w:r>
      <w:r w:rsidR="006265E7" w:rsidRPr="005E4A3E">
        <w:rPr>
          <w:rFonts w:ascii="Times New Roman" w:hAnsi="Times New Roman" w:cs="Times New Roman"/>
        </w:rPr>
        <w:t xml:space="preserve"> the progress of a</w:t>
      </w:r>
      <w:r w:rsidR="00C676C7" w:rsidRPr="005E4A3E">
        <w:rPr>
          <w:rFonts w:ascii="Times New Roman" w:hAnsi="Times New Roman" w:cs="Times New Roman"/>
        </w:rPr>
        <w:t xml:space="preserve"> movemen</w:t>
      </w:r>
      <w:r w:rsidR="004B42A3" w:rsidRPr="005E4A3E">
        <w:rPr>
          <w:rFonts w:ascii="Times New Roman" w:hAnsi="Times New Roman" w:cs="Times New Roman"/>
        </w:rPr>
        <w:t xml:space="preserve">t </w:t>
      </w:r>
      <w:r w:rsidR="00196B02">
        <w:rPr>
          <w:rFonts w:ascii="Times New Roman" w:hAnsi="Times New Roman" w:cs="Times New Roman"/>
        </w:rPr>
        <w:t xml:space="preserve">that sought </w:t>
      </w:r>
      <w:r w:rsidR="004B42A3" w:rsidRPr="005E4A3E">
        <w:rPr>
          <w:rFonts w:ascii="Times New Roman" w:hAnsi="Times New Roman" w:cs="Times New Roman"/>
        </w:rPr>
        <w:t>to holistically re</w:t>
      </w:r>
      <w:r w:rsidR="00196B02">
        <w:rPr>
          <w:rFonts w:ascii="Times New Roman" w:hAnsi="Times New Roman" w:cs="Times New Roman"/>
        </w:rPr>
        <w:t>develop</w:t>
      </w:r>
      <w:r w:rsidR="004B42A3" w:rsidRPr="005E4A3E">
        <w:rPr>
          <w:rFonts w:ascii="Times New Roman" w:hAnsi="Times New Roman" w:cs="Times New Roman"/>
        </w:rPr>
        <w:t xml:space="preserve"> cities</w:t>
      </w:r>
      <w:r w:rsidR="00196B02">
        <w:rPr>
          <w:rFonts w:ascii="Times New Roman" w:hAnsi="Times New Roman" w:cs="Times New Roman"/>
        </w:rPr>
        <w:t xml:space="preserve"> that</w:t>
      </w:r>
      <w:r w:rsidR="00BA3F42" w:rsidRPr="005E4A3E">
        <w:rPr>
          <w:rFonts w:ascii="Times New Roman" w:hAnsi="Times New Roman" w:cs="Times New Roman"/>
        </w:rPr>
        <w:t xml:space="preserve"> beg</w:t>
      </w:r>
      <w:r w:rsidR="00196B02">
        <w:rPr>
          <w:rFonts w:ascii="Times New Roman" w:hAnsi="Times New Roman" w:cs="Times New Roman"/>
        </w:rPr>
        <w:t>an in</w:t>
      </w:r>
      <w:r w:rsidR="00BA3F42" w:rsidRPr="005E4A3E">
        <w:rPr>
          <w:rFonts w:ascii="Times New Roman" w:hAnsi="Times New Roman" w:cs="Times New Roman"/>
        </w:rPr>
        <w:t xml:space="preserve"> the 1920s</w:t>
      </w:r>
      <w:r w:rsidR="006265E7" w:rsidRPr="005E4A3E">
        <w:rPr>
          <w:rFonts w:ascii="Times New Roman" w:hAnsi="Times New Roman" w:cs="Times New Roman"/>
        </w:rPr>
        <w:t xml:space="preserve">, </w:t>
      </w:r>
      <w:r w:rsidR="00C676C7" w:rsidRPr="005E4A3E">
        <w:rPr>
          <w:rFonts w:ascii="Times New Roman" w:hAnsi="Times New Roman" w:cs="Times New Roman"/>
        </w:rPr>
        <w:t>reached a</w:t>
      </w:r>
      <w:r w:rsidR="004B42A3" w:rsidRPr="005E4A3E">
        <w:rPr>
          <w:rFonts w:ascii="Times New Roman" w:hAnsi="Times New Roman" w:cs="Times New Roman"/>
        </w:rPr>
        <w:t xml:space="preserve"> crescendo in a</w:t>
      </w:r>
      <w:r w:rsidR="0045579A" w:rsidRPr="005E4A3E">
        <w:rPr>
          <w:rFonts w:ascii="Times New Roman" w:hAnsi="Times New Roman" w:cs="Times New Roman"/>
        </w:rPr>
        <w:t xml:space="preserve"> moment of high-m</w:t>
      </w:r>
      <w:r w:rsidRPr="005E4A3E">
        <w:rPr>
          <w:rFonts w:ascii="Times New Roman" w:hAnsi="Times New Roman" w:cs="Times New Roman"/>
        </w:rPr>
        <w:t>odernist op</w:t>
      </w:r>
      <w:r w:rsidR="00BA3F42" w:rsidRPr="005E4A3E">
        <w:rPr>
          <w:rFonts w:ascii="Times New Roman" w:hAnsi="Times New Roman" w:cs="Times New Roman"/>
        </w:rPr>
        <w:t>timism in the</w:t>
      </w:r>
      <w:r w:rsidRPr="005E4A3E">
        <w:rPr>
          <w:rFonts w:ascii="Times New Roman" w:hAnsi="Times New Roman" w:cs="Times New Roman"/>
        </w:rPr>
        <w:t>1960s</w:t>
      </w:r>
      <w:r w:rsidR="00AD7049" w:rsidRPr="005E4A3E">
        <w:rPr>
          <w:rFonts w:ascii="Times New Roman" w:hAnsi="Times New Roman" w:cs="Times New Roman"/>
        </w:rPr>
        <w:t>,</w:t>
      </w:r>
      <w:r w:rsidR="00BA3F42" w:rsidRPr="005E4A3E">
        <w:rPr>
          <w:rFonts w:ascii="Times New Roman" w:hAnsi="Times New Roman" w:cs="Times New Roman"/>
        </w:rPr>
        <w:t xml:space="preserve"> before</w:t>
      </w:r>
      <w:r w:rsidR="0045579A" w:rsidRPr="005E4A3E">
        <w:rPr>
          <w:rFonts w:ascii="Times New Roman" w:hAnsi="Times New Roman" w:cs="Times New Roman"/>
        </w:rPr>
        <w:t xml:space="preserve"> grinding to a halt in the 1970s as both the efficacy and principles of urban planning were questioned by </w:t>
      </w:r>
      <w:r w:rsidR="006265E7" w:rsidRPr="005E4A3E">
        <w:rPr>
          <w:rFonts w:ascii="Times New Roman" w:hAnsi="Times New Roman" w:cs="Times New Roman"/>
        </w:rPr>
        <w:t>politicians</w:t>
      </w:r>
      <w:r w:rsidR="0045579A" w:rsidRPr="005E4A3E">
        <w:rPr>
          <w:rFonts w:ascii="Times New Roman" w:hAnsi="Times New Roman" w:cs="Times New Roman"/>
        </w:rPr>
        <w:t xml:space="preserve"> and the public alike</w:t>
      </w:r>
      <w:r w:rsidRPr="005E4A3E">
        <w:rPr>
          <w:rFonts w:ascii="Times New Roman" w:hAnsi="Times New Roman" w:cs="Times New Roman"/>
        </w:rPr>
        <w:t xml:space="preserve">. </w:t>
      </w:r>
      <w:r w:rsidR="0045579A" w:rsidRPr="005E4A3E">
        <w:rPr>
          <w:rFonts w:ascii="Times New Roman" w:hAnsi="Times New Roman" w:cs="Times New Roman"/>
        </w:rPr>
        <w:t>This is a familiar,</w:t>
      </w:r>
      <w:r w:rsidR="00BA3F42" w:rsidRPr="005E4A3E">
        <w:rPr>
          <w:rFonts w:ascii="Times New Roman" w:hAnsi="Times New Roman" w:cs="Times New Roman"/>
        </w:rPr>
        <w:t xml:space="preserve"> often clichéd and frequently</w:t>
      </w:r>
      <w:r w:rsidR="0045579A" w:rsidRPr="005E4A3E">
        <w:rPr>
          <w:rFonts w:ascii="Times New Roman" w:hAnsi="Times New Roman" w:cs="Times New Roman"/>
        </w:rPr>
        <w:t xml:space="preserve"> misunderstood story of how British towns and cities came </w:t>
      </w:r>
      <w:r w:rsidR="0045579A" w:rsidRPr="005E4A3E">
        <w:rPr>
          <w:rFonts w:ascii="Times New Roman" w:hAnsi="Times New Roman" w:cs="Times New Roman"/>
        </w:rPr>
        <w:lastRenderedPageBreak/>
        <w:t>to look</w:t>
      </w:r>
      <w:r w:rsidR="00BA3F42" w:rsidRPr="005E4A3E">
        <w:rPr>
          <w:rFonts w:ascii="Times New Roman" w:hAnsi="Times New Roman" w:cs="Times New Roman"/>
        </w:rPr>
        <w:t xml:space="preserve"> the way they did and, in many instances,</w:t>
      </w:r>
      <w:r w:rsidR="0045579A" w:rsidRPr="005E4A3E">
        <w:rPr>
          <w:rFonts w:ascii="Times New Roman" w:hAnsi="Times New Roman" w:cs="Times New Roman"/>
        </w:rPr>
        <w:t xml:space="preserve"> still do. </w:t>
      </w:r>
      <w:r w:rsidR="009C791E" w:rsidRPr="005E4A3E">
        <w:rPr>
          <w:rFonts w:ascii="Times New Roman" w:hAnsi="Times New Roman" w:cs="Times New Roman"/>
        </w:rPr>
        <w:t>Urban historians</w:t>
      </w:r>
      <w:r w:rsidR="00AD7049" w:rsidRPr="005E4A3E">
        <w:rPr>
          <w:rFonts w:ascii="Times New Roman" w:hAnsi="Times New Roman" w:cs="Times New Roman"/>
        </w:rPr>
        <w:t xml:space="preserve"> have</w:t>
      </w:r>
      <w:r w:rsidR="004B42A3" w:rsidRPr="005E4A3E">
        <w:rPr>
          <w:rFonts w:ascii="Times New Roman" w:hAnsi="Times New Roman" w:cs="Times New Roman"/>
        </w:rPr>
        <w:t>, as part of these narratives,</w:t>
      </w:r>
      <w:r w:rsidR="00BA1336" w:rsidRPr="005E4A3E">
        <w:rPr>
          <w:rFonts w:ascii="Times New Roman" w:hAnsi="Times New Roman" w:cs="Times New Roman"/>
        </w:rPr>
        <w:t xml:space="preserve"> </w:t>
      </w:r>
      <w:r w:rsidR="00AD7049" w:rsidRPr="005E4A3E">
        <w:rPr>
          <w:rFonts w:ascii="Times New Roman" w:hAnsi="Times New Roman" w:cs="Times New Roman"/>
        </w:rPr>
        <w:t xml:space="preserve">situated the objectives, achievements and failings of </w:t>
      </w:r>
      <w:r w:rsidR="00BA1336" w:rsidRPr="005E4A3E">
        <w:rPr>
          <w:rFonts w:ascii="Times New Roman" w:hAnsi="Times New Roman" w:cs="Times New Roman"/>
        </w:rPr>
        <w:t>this period of</w:t>
      </w:r>
      <w:r w:rsidR="00AD7049" w:rsidRPr="005E4A3E">
        <w:rPr>
          <w:rFonts w:ascii="Times New Roman" w:hAnsi="Times New Roman" w:cs="Times New Roman"/>
        </w:rPr>
        <w:t xml:space="preserve"> redevelopment within the wider socio-economic frameworks of </w:t>
      </w:r>
      <w:r w:rsidR="004B42A3" w:rsidRPr="005E4A3E">
        <w:rPr>
          <w:rFonts w:ascii="Times New Roman" w:hAnsi="Times New Roman" w:cs="Times New Roman"/>
        </w:rPr>
        <w:t>British history</w:t>
      </w:r>
      <w:r w:rsidR="0045579A" w:rsidRPr="005E4A3E">
        <w:rPr>
          <w:rFonts w:ascii="Times New Roman" w:hAnsi="Times New Roman" w:cs="Times New Roman"/>
        </w:rPr>
        <w:t xml:space="preserve">, particularly seeing the post-war planning movement and </w:t>
      </w:r>
      <w:r w:rsidR="006265E7" w:rsidRPr="005E4A3E">
        <w:rPr>
          <w:rFonts w:ascii="Times New Roman" w:hAnsi="Times New Roman" w:cs="Times New Roman"/>
        </w:rPr>
        <w:t xml:space="preserve">architectural </w:t>
      </w:r>
      <w:r w:rsidR="0045579A" w:rsidRPr="005E4A3E">
        <w:rPr>
          <w:rFonts w:ascii="Times New Roman" w:hAnsi="Times New Roman" w:cs="Times New Roman"/>
        </w:rPr>
        <w:t xml:space="preserve">modernism tied-up with the </w:t>
      </w:r>
      <w:r w:rsidR="006265E7" w:rsidRPr="005E4A3E">
        <w:rPr>
          <w:rFonts w:ascii="Times New Roman" w:hAnsi="Times New Roman" w:cs="Times New Roman"/>
        </w:rPr>
        <w:t xml:space="preserve">wax and wane of the </w:t>
      </w:r>
      <w:r w:rsidR="00CB6B50" w:rsidRPr="005E4A3E">
        <w:rPr>
          <w:rFonts w:ascii="Times New Roman" w:hAnsi="Times New Roman" w:cs="Times New Roman"/>
        </w:rPr>
        <w:t>fortunes of a supposed</w:t>
      </w:r>
      <w:r w:rsidR="0045579A" w:rsidRPr="005E4A3E">
        <w:rPr>
          <w:rFonts w:ascii="Times New Roman" w:hAnsi="Times New Roman" w:cs="Times New Roman"/>
        </w:rPr>
        <w:t xml:space="preserve"> </w:t>
      </w:r>
      <w:r w:rsidR="006265E7" w:rsidRPr="005E4A3E">
        <w:rPr>
          <w:rFonts w:ascii="Times New Roman" w:hAnsi="Times New Roman" w:cs="Times New Roman"/>
        </w:rPr>
        <w:t>social-</w:t>
      </w:r>
      <w:r w:rsidR="0045579A" w:rsidRPr="005E4A3E">
        <w:rPr>
          <w:rFonts w:ascii="Times New Roman" w:hAnsi="Times New Roman" w:cs="Times New Roman"/>
        </w:rPr>
        <w:t>democratic consensus</w:t>
      </w:r>
      <w:r w:rsidR="004B42A3" w:rsidRPr="005E4A3E">
        <w:rPr>
          <w:rFonts w:ascii="Times New Roman" w:hAnsi="Times New Roman" w:cs="Times New Roman"/>
        </w:rPr>
        <w:t>.</w:t>
      </w:r>
      <w:r w:rsidR="0045579A" w:rsidRPr="005E4A3E">
        <w:rPr>
          <w:rStyle w:val="FootnoteReference"/>
          <w:rFonts w:ascii="Times New Roman" w:hAnsi="Times New Roman" w:cs="Times New Roman"/>
        </w:rPr>
        <w:footnoteReference w:id="4"/>
      </w:r>
      <w:r w:rsidR="004B42A3" w:rsidRPr="005E4A3E">
        <w:rPr>
          <w:rFonts w:ascii="Times New Roman" w:hAnsi="Times New Roman" w:cs="Times New Roman"/>
        </w:rPr>
        <w:t xml:space="preserve"> </w:t>
      </w:r>
      <w:r w:rsidR="006265E7" w:rsidRPr="005E4A3E">
        <w:rPr>
          <w:rFonts w:ascii="Times New Roman" w:hAnsi="Times New Roman" w:cs="Times New Roman"/>
        </w:rPr>
        <w:t xml:space="preserve">At the same time, tracking other </w:t>
      </w:r>
      <w:r w:rsidR="00CB6B50" w:rsidRPr="005E4A3E">
        <w:rPr>
          <w:rFonts w:ascii="Times New Roman" w:hAnsi="Times New Roman" w:cs="Times New Roman"/>
        </w:rPr>
        <w:t>central</w:t>
      </w:r>
      <w:r w:rsidR="00BA1336" w:rsidRPr="005E4A3E">
        <w:rPr>
          <w:rFonts w:ascii="Times New Roman" w:hAnsi="Times New Roman" w:cs="Times New Roman"/>
        </w:rPr>
        <w:t xml:space="preserve"> themes </w:t>
      </w:r>
      <w:r w:rsidR="00CB6B50" w:rsidRPr="005E4A3E">
        <w:rPr>
          <w:rFonts w:ascii="Times New Roman" w:hAnsi="Times New Roman" w:cs="Times New Roman"/>
        </w:rPr>
        <w:t>like</w:t>
      </w:r>
      <w:r w:rsidR="00BA1336" w:rsidRPr="005E4A3E">
        <w:rPr>
          <w:rFonts w:ascii="Times New Roman" w:hAnsi="Times New Roman" w:cs="Times New Roman"/>
        </w:rPr>
        <w:t xml:space="preserve"> </w:t>
      </w:r>
      <w:r w:rsidR="00AD7049" w:rsidRPr="005E4A3E">
        <w:rPr>
          <w:rFonts w:ascii="Times New Roman" w:hAnsi="Times New Roman" w:cs="Times New Roman"/>
        </w:rPr>
        <w:t xml:space="preserve">decline and decolonisation, affluence and consumerism, </w:t>
      </w:r>
      <w:r w:rsidR="009C791E" w:rsidRPr="005E4A3E">
        <w:rPr>
          <w:rFonts w:ascii="Times New Roman" w:hAnsi="Times New Roman" w:cs="Times New Roman"/>
        </w:rPr>
        <w:t xml:space="preserve">gender and sexual </w:t>
      </w:r>
      <w:r w:rsidR="006265E7" w:rsidRPr="005E4A3E">
        <w:rPr>
          <w:rFonts w:ascii="Times New Roman" w:hAnsi="Times New Roman" w:cs="Times New Roman"/>
        </w:rPr>
        <w:t>identity through</w:t>
      </w:r>
      <w:r w:rsidR="00AD7049" w:rsidRPr="005E4A3E">
        <w:rPr>
          <w:rFonts w:ascii="Times New Roman" w:hAnsi="Times New Roman" w:cs="Times New Roman"/>
        </w:rPr>
        <w:t xml:space="preserve"> the fabric </w:t>
      </w:r>
      <w:r w:rsidR="006265E7" w:rsidRPr="005E4A3E">
        <w:rPr>
          <w:rFonts w:ascii="Times New Roman" w:hAnsi="Times New Roman" w:cs="Times New Roman"/>
        </w:rPr>
        <w:t xml:space="preserve">and governance </w:t>
      </w:r>
      <w:r w:rsidR="00AD7049" w:rsidRPr="005E4A3E">
        <w:rPr>
          <w:rFonts w:ascii="Times New Roman" w:hAnsi="Times New Roman" w:cs="Times New Roman"/>
        </w:rPr>
        <w:t>of the built environment</w:t>
      </w:r>
      <w:r w:rsidR="006265E7" w:rsidRPr="005E4A3E">
        <w:rPr>
          <w:rFonts w:ascii="Times New Roman" w:hAnsi="Times New Roman" w:cs="Times New Roman"/>
        </w:rPr>
        <w:t xml:space="preserve"> has</w:t>
      </w:r>
      <w:r w:rsidR="004B42A3" w:rsidRPr="005E4A3E">
        <w:rPr>
          <w:rFonts w:ascii="Times New Roman" w:hAnsi="Times New Roman" w:cs="Times New Roman"/>
        </w:rPr>
        <w:t xml:space="preserve"> shown that</w:t>
      </w:r>
      <w:r w:rsidR="009C791E" w:rsidRPr="005E4A3E">
        <w:rPr>
          <w:rFonts w:ascii="Times New Roman" w:hAnsi="Times New Roman" w:cs="Times New Roman"/>
        </w:rPr>
        <w:t xml:space="preserve"> understanding modern Britain is an inesc</w:t>
      </w:r>
      <w:r w:rsidR="00BA3F42" w:rsidRPr="005E4A3E">
        <w:rPr>
          <w:rFonts w:ascii="Times New Roman" w:hAnsi="Times New Roman" w:cs="Times New Roman"/>
        </w:rPr>
        <w:t>apably spatial and urban endeavour</w:t>
      </w:r>
      <w:r w:rsidR="009C791E" w:rsidRPr="005E4A3E">
        <w:rPr>
          <w:rFonts w:ascii="Times New Roman" w:hAnsi="Times New Roman" w:cs="Times New Roman"/>
        </w:rPr>
        <w:t>.</w:t>
      </w:r>
      <w:r w:rsidR="00AD7049" w:rsidRPr="005E4A3E">
        <w:rPr>
          <w:rFonts w:ascii="Times New Roman" w:hAnsi="Times New Roman" w:cs="Times New Roman"/>
        </w:rPr>
        <w:t xml:space="preserve"> </w:t>
      </w:r>
      <w:r w:rsidR="006265E7" w:rsidRPr="005E4A3E">
        <w:rPr>
          <w:rFonts w:ascii="Times New Roman" w:hAnsi="Times New Roman" w:cs="Times New Roman"/>
        </w:rPr>
        <w:t>Indeed</w:t>
      </w:r>
      <w:r w:rsidR="004B42A3" w:rsidRPr="005E4A3E">
        <w:rPr>
          <w:rFonts w:ascii="Times New Roman" w:hAnsi="Times New Roman" w:cs="Times New Roman"/>
        </w:rPr>
        <w:t xml:space="preserve">, </w:t>
      </w:r>
      <w:r w:rsidR="00BA3F42" w:rsidRPr="005E4A3E">
        <w:rPr>
          <w:rFonts w:ascii="Times New Roman" w:hAnsi="Times New Roman" w:cs="Times New Roman"/>
        </w:rPr>
        <w:t>such</w:t>
      </w:r>
      <w:r w:rsidR="004B42A3" w:rsidRPr="005E4A3E">
        <w:rPr>
          <w:rFonts w:ascii="Times New Roman" w:hAnsi="Times New Roman" w:cs="Times New Roman"/>
        </w:rPr>
        <w:t xml:space="preserve"> observations have not been</w:t>
      </w:r>
      <w:r w:rsidR="009C791E" w:rsidRPr="005E4A3E">
        <w:rPr>
          <w:rFonts w:ascii="Times New Roman" w:hAnsi="Times New Roman" w:cs="Times New Roman"/>
        </w:rPr>
        <w:t xml:space="preserve"> limited to Britain. A</w:t>
      </w:r>
      <w:r w:rsidR="000743D5" w:rsidRPr="005E4A3E">
        <w:rPr>
          <w:rFonts w:ascii="Times New Roman" w:hAnsi="Times New Roman" w:cs="Times New Roman"/>
        </w:rPr>
        <w:t xml:space="preserve">s Chris </w:t>
      </w:r>
      <w:proofErr w:type="spellStart"/>
      <w:r w:rsidR="000743D5" w:rsidRPr="005E4A3E">
        <w:rPr>
          <w:rFonts w:ascii="Times New Roman" w:hAnsi="Times New Roman" w:cs="Times New Roman"/>
        </w:rPr>
        <w:t>Klemek</w:t>
      </w:r>
      <w:proofErr w:type="spellEnd"/>
      <w:r w:rsidR="000743D5" w:rsidRPr="005E4A3E">
        <w:rPr>
          <w:rFonts w:ascii="Times New Roman" w:hAnsi="Times New Roman" w:cs="Times New Roman"/>
        </w:rPr>
        <w:t xml:space="preserve"> has shown, </w:t>
      </w:r>
      <w:r w:rsidR="00BA1336" w:rsidRPr="005E4A3E">
        <w:rPr>
          <w:rFonts w:ascii="Times New Roman" w:hAnsi="Times New Roman" w:cs="Times New Roman"/>
        </w:rPr>
        <w:t>the</w:t>
      </w:r>
      <w:r w:rsidR="000743D5" w:rsidRPr="005E4A3E">
        <w:rPr>
          <w:rFonts w:ascii="Times New Roman" w:hAnsi="Times New Roman" w:cs="Times New Roman"/>
        </w:rPr>
        <w:t xml:space="preserve"> </w:t>
      </w:r>
      <w:r w:rsidR="00AD7049" w:rsidRPr="005E4A3E">
        <w:rPr>
          <w:rFonts w:ascii="Times New Roman" w:hAnsi="Times New Roman" w:cs="Times New Roman"/>
        </w:rPr>
        <w:t>trajectory</w:t>
      </w:r>
      <w:r w:rsidR="00BA1336" w:rsidRPr="005E4A3E">
        <w:rPr>
          <w:rFonts w:ascii="Times New Roman" w:hAnsi="Times New Roman" w:cs="Times New Roman"/>
        </w:rPr>
        <w:t xml:space="preserve"> of urban change</w:t>
      </w:r>
      <w:r w:rsidR="000743D5" w:rsidRPr="005E4A3E">
        <w:rPr>
          <w:rFonts w:ascii="Times New Roman" w:hAnsi="Times New Roman" w:cs="Times New Roman"/>
        </w:rPr>
        <w:t xml:space="preserve"> was </w:t>
      </w:r>
      <w:r w:rsidR="00AD7049" w:rsidRPr="005E4A3E">
        <w:rPr>
          <w:rFonts w:ascii="Times New Roman" w:hAnsi="Times New Roman" w:cs="Times New Roman"/>
        </w:rPr>
        <w:t xml:space="preserve">part of a wider </w:t>
      </w:r>
      <w:r w:rsidR="006265E7" w:rsidRPr="005E4A3E">
        <w:rPr>
          <w:rFonts w:ascii="Times New Roman" w:hAnsi="Times New Roman" w:cs="Times New Roman"/>
        </w:rPr>
        <w:t>set of practices</w:t>
      </w:r>
      <w:r w:rsidR="00AD7049" w:rsidRPr="005E4A3E">
        <w:rPr>
          <w:rFonts w:ascii="Times New Roman" w:hAnsi="Times New Roman" w:cs="Times New Roman"/>
        </w:rPr>
        <w:t xml:space="preserve"> that </w:t>
      </w:r>
      <w:r w:rsidR="009C791E" w:rsidRPr="005E4A3E">
        <w:rPr>
          <w:rFonts w:ascii="Times New Roman" w:hAnsi="Times New Roman" w:cs="Times New Roman"/>
        </w:rPr>
        <w:t>rose and fell</w:t>
      </w:r>
      <w:r w:rsidR="00AD7049" w:rsidRPr="005E4A3E">
        <w:rPr>
          <w:rFonts w:ascii="Times New Roman" w:hAnsi="Times New Roman" w:cs="Times New Roman"/>
        </w:rPr>
        <w:t xml:space="preserve"> in</w:t>
      </w:r>
      <w:r w:rsidR="009C791E" w:rsidRPr="005E4A3E">
        <w:rPr>
          <w:rFonts w:ascii="Times New Roman" w:hAnsi="Times New Roman" w:cs="Times New Roman"/>
        </w:rPr>
        <w:t xml:space="preserve"> similar ways in</w:t>
      </w:r>
      <w:r w:rsidR="00AD7049" w:rsidRPr="005E4A3E">
        <w:rPr>
          <w:rFonts w:ascii="Times New Roman" w:hAnsi="Times New Roman" w:cs="Times New Roman"/>
        </w:rPr>
        <w:t xml:space="preserve"> both Europe and North America</w:t>
      </w:r>
      <w:r w:rsidR="000743D5" w:rsidRPr="005E4A3E">
        <w:rPr>
          <w:rFonts w:ascii="Times New Roman" w:hAnsi="Times New Roman" w:cs="Times New Roman"/>
        </w:rPr>
        <w:t>.</w:t>
      </w:r>
      <w:r w:rsidR="000743D5" w:rsidRPr="005E4A3E">
        <w:rPr>
          <w:rStyle w:val="FootnoteReference"/>
          <w:rFonts w:ascii="Times New Roman" w:hAnsi="Times New Roman" w:cs="Times New Roman"/>
        </w:rPr>
        <w:footnoteReference w:id="5"/>
      </w:r>
      <w:r w:rsidR="009C791E" w:rsidRPr="005E4A3E">
        <w:rPr>
          <w:rFonts w:ascii="Times New Roman" w:hAnsi="Times New Roman" w:cs="Times New Roman"/>
        </w:rPr>
        <w:t xml:space="preserve"> </w:t>
      </w:r>
      <w:r w:rsidR="00BA3F42" w:rsidRPr="005E4A3E">
        <w:rPr>
          <w:rFonts w:ascii="Times New Roman" w:hAnsi="Times New Roman" w:cs="Times New Roman"/>
        </w:rPr>
        <w:t>H</w:t>
      </w:r>
      <w:r w:rsidR="00BA1336" w:rsidRPr="005E4A3E">
        <w:rPr>
          <w:rFonts w:ascii="Times New Roman" w:hAnsi="Times New Roman" w:cs="Times New Roman"/>
        </w:rPr>
        <w:t xml:space="preserve">istorians like </w:t>
      </w:r>
      <w:r w:rsidR="009C791E" w:rsidRPr="005E4A3E">
        <w:rPr>
          <w:rFonts w:ascii="Times New Roman" w:hAnsi="Times New Roman" w:cs="Times New Roman"/>
        </w:rPr>
        <w:t>Erika Hanna</w:t>
      </w:r>
      <w:r w:rsidR="00BA1336" w:rsidRPr="005E4A3E">
        <w:rPr>
          <w:rFonts w:ascii="Times New Roman" w:hAnsi="Times New Roman" w:cs="Times New Roman"/>
        </w:rPr>
        <w:t xml:space="preserve">, </w:t>
      </w:r>
      <w:r w:rsidR="00F32987" w:rsidRPr="005E4A3E">
        <w:rPr>
          <w:rFonts w:ascii="Times New Roman" w:hAnsi="Times New Roman" w:cs="Times New Roman"/>
        </w:rPr>
        <w:t>Natasha</w:t>
      </w:r>
      <w:r w:rsidR="00BA1336" w:rsidRPr="005E4A3E">
        <w:rPr>
          <w:rFonts w:ascii="Times New Roman" w:hAnsi="Times New Roman" w:cs="Times New Roman"/>
        </w:rPr>
        <w:t xml:space="preserve"> Vall</w:t>
      </w:r>
      <w:r w:rsidR="009C791E" w:rsidRPr="005E4A3E">
        <w:rPr>
          <w:rFonts w:ascii="Times New Roman" w:hAnsi="Times New Roman" w:cs="Times New Roman"/>
        </w:rPr>
        <w:t xml:space="preserve"> and</w:t>
      </w:r>
      <w:r w:rsidR="00BA1336" w:rsidRPr="005E4A3E">
        <w:rPr>
          <w:rFonts w:ascii="Times New Roman" w:hAnsi="Times New Roman" w:cs="Times New Roman"/>
        </w:rPr>
        <w:t xml:space="preserve"> Stefan Couperus</w:t>
      </w:r>
      <w:r w:rsidR="009C791E" w:rsidRPr="005E4A3E">
        <w:rPr>
          <w:rFonts w:ascii="Times New Roman" w:hAnsi="Times New Roman" w:cs="Times New Roman"/>
        </w:rPr>
        <w:t xml:space="preserve"> </w:t>
      </w:r>
      <w:r w:rsidR="004F2928" w:rsidRPr="005E4A3E">
        <w:rPr>
          <w:rFonts w:ascii="Times New Roman" w:hAnsi="Times New Roman" w:cs="Times New Roman"/>
        </w:rPr>
        <w:t xml:space="preserve">have </w:t>
      </w:r>
      <w:r w:rsidR="00BA3F42" w:rsidRPr="005E4A3E">
        <w:rPr>
          <w:rFonts w:ascii="Times New Roman" w:hAnsi="Times New Roman" w:cs="Times New Roman"/>
        </w:rPr>
        <w:t>evidenced</w:t>
      </w:r>
      <w:r w:rsidR="006265E7" w:rsidRPr="005E4A3E">
        <w:rPr>
          <w:rFonts w:ascii="Times New Roman" w:hAnsi="Times New Roman" w:cs="Times New Roman"/>
        </w:rPr>
        <w:t xml:space="preserve"> </w:t>
      </w:r>
      <w:r w:rsidR="004B42A3" w:rsidRPr="005E4A3E">
        <w:rPr>
          <w:rFonts w:ascii="Times New Roman" w:hAnsi="Times New Roman" w:cs="Times New Roman"/>
        </w:rPr>
        <w:t>transnational</w:t>
      </w:r>
      <w:r w:rsidR="004F2928" w:rsidRPr="005E4A3E">
        <w:rPr>
          <w:rFonts w:ascii="Times New Roman" w:hAnsi="Times New Roman" w:cs="Times New Roman"/>
        </w:rPr>
        <w:t xml:space="preserve"> </w:t>
      </w:r>
      <w:r w:rsidR="006265E7" w:rsidRPr="005E4A3E">
        <w:rPr>
          <w:rFonts w:ascii="Times New Roman" w:hAnsi="Times New Roman" w:cs="Times New Roman"/>
        </w:rPr>
        <w:t>similarities alongside</w:t>
      </w:r>
      <w:r w:rsidR="00BA1336" w:rsidRPr="005E4A3E">
        <w:rPr>
          <w:rFonts w:ascii="Times New Roman" w:hAnsi="Times New Roman" w:cs="Times New Roman"/>
        </w:rPr>
        <w:t xml:space="preserve"> local peculiarities in approaches to urban </w:t>
      </w:r>
      <w:r w:rsidR="004F2928" w:rsidRPr="005E4A3E">
        <w:rPr>
          <w:rFonts w:ascii="Times New Roman" w:hAnsi="Times New Roman" w:cs="Times New Roman"/>
        </w:rPr>
        <w:t>environments</w:t>
      </w:r>
      <w:r w:rsidR="00BA1336" w:rsidRPr="005E4A3E">
        <w:rPr>
          <w:rFonts w:ascii="Times New Roman" w:hAnsi="Times New Roman" w:cs="Times New Roman"/>
        </w:rPr>
        <w:t xml:space="preserve"> in a range of European contexts</w:t>
      </w:r>
      <w:r w:rsidR="009C791E" w:rsidRPr="005E4A3E">
        <w:rPr>
          <w:rFonts w:ascii="Times New Roman" w:hAnsi="Times New Roman" w:cs="Times New Roman"/>
        </w:rPr>
        <w:t>.</w:t>
      </w:r>
      <w:r w:rsidR="00114655" w:rsidRPr="005E4A3E">
        <w:rPr>
          <w:rStyle w:val="FootnoteReference"/>
          <w:rFonts w:ascii="Times New Roman" w:hAnsi="Times New Roman" w:cs="Times New Roman"/>
        </w:rPr>
        <w:footnoteReference w:id="6"/>
      </w:r>
      <w:r w:rsidR="009C791E" w:rsidRPr="005E4A3E">
        <w:rPr>
          <w:rFonts w:ascii="Times New Roman" w:hAnsi="Times New Roman" w:cs="Times New Roman"/>
        </w:rPr>
        <w:t xml:space="preserve"> </w:t>
      </w:r>
      <w:r w:rsidR="00686AD7" w:rsidRPr="005E4A3E">
        <w:rPr>
          <w:rFonts w:ascii="Times New Roman" w:hAnsi="Times New Roman" w:cs="Times New Roman"/>
        </w:rPr>
        <w:t>The theses examined here</w:t>
      </w:r>
      <w:r w:rsidR="00CB6B50" w:rsidRPr="005E4A3E">
        <w:rPr>
          <w:rFonts w:ascii="Times New Roman" w:hAnsi="Times New Roman" w:cs="Times New Roman"/>
        </w:rPr>
        <w:t>, which all deal with aspects of British urban development and policy between 1945 and the 1980s,</w:t>
      </w:r>
      <w:r w:rsidR="00686AD7" w:rsidRPr="005E4A3E">
        <w:rPr>
          <w:rFonts w:ascii="Times New Roman" w:hAnsi="Times New Roman" w:cs="Times New Roman"/>
        </w:rPr>
        <w:t xml:space="preserve"> thus form part of a long lineage of scholars on both sides of the Atlantic </w:t>
      </w:r>
      <w:r w:rsidR="00BA3F42" w:rsidRPr="005E4A3E">
        <w:rPr>
          <w:rFonts w:ascii="Times New Roman" w:hAnsi="Times New Roman" w:cs="Times New Roman"/>
        </w:rPr>
        <w:t>who have examined</w:t>
      </w:r>
      <w:r w:rsidR="00CB6B50" w:rsidRPr="005E4A3E">
        <w:rPr>
          <w:rFonts w:ascii="Times New Roman" w:hAnsi="Times New Roman" w:cs="Times New Roman"/>
        </w:rPr>
        <w:t xml:space="preserve"> the development of post-war urban Britain. Yet what they</w:t>
      </w:r>
      <w:r w:rsidR="00686AD7" w:rsidRPr="005E4A3E">
        <w:rPr>
          <w:rFonts w:ascii="Times New Roman" w:hAnsi="Times New Roman" w:cs="Times New Roman"/>
        </w:rPr>
        <w:t xml:space="preserve"> also</w:t>
      </w:r>
      <w:r w:rsidR="004F2928" w:rsidRPr="005E4A3E">
        <w:rPr>
          <w:rFonts w:ascii="Times New Roman" w:hAnsi="Times New Roman" w:cs="Times New Roman"/>
        </w:rPr>
        <w:t xml:space="preserve"> demonstrate </w:t>
      </w:r>
      <w:r w:rsidR="00CB6B50" w:rsidRPr="005E4A3E">
        <w:rPr>
          <w:rFonts w:ascii="Times New Roman" w:hAnsi="Times New Roman" w:cs="Times New Roman"/>
        </w:rPr>
        <w:t xml:space="preserve">are </w:t>
      </w:r>
      <w:r w:rsidR="004F2928" w:rsidRPr="005E4A3E">
        <w:rPr>
          <w:rFonts w:ascii="Times New Roman" w:hAnsi="Times New Roman" w:cs="Times New Roman"/>
        </w:rPr>
        <w:t xml:space="preserve">the </w:t>
      </w:r>
      <w:r w:rsidR="00CB6B50" w:rsidRPr="005E4A3E">
        <w:rPr>
          <w:rFonts w:ascii="Times New Roman" w:hAnsi="Times New Roman" w:cs="Times New Roman"/>
        </w:rPr>
        <w:t>ways that a generation of new scholars are using studies of ci</w:t>
      </w:r>
      <w:r w:rsidR="009F12B5" w:rsidRPr="005E4A3E">
        <w:rPr>
          <w:rFonts w:ascii="Times New Roman" w:hAnsi="Times New Roman" w:cs="Times New Roman"/>
        </w:rPr>
        <w:t>ties and space to shed light on wider socio-economic and cultural processes, an approach</w:t>
      </w:r>
      <w:r w:rsidR="00686AD7" w:rsidRPr="005E4A3E">
        <w:rPr>
          <w:rFonts w:ascii="Times New Roman" w:hAnsi="Times New Roman" w:cs="Times New Roman"/>
        </w:rPr>
        <w:t xml:space="preserve"> Simon Gunn </w:t>
      </w:r>
      <w:r w:rsidR="009F12B5" w:rsidRPr="005E4A3E">
        <w:rPr>
          <w:rFonts w:ascii="Times New Roman" w:hAnsi="Times New Roman" w:cs="Times New Roman"/>
        </w:rPr>
        <w:t>recently</w:t>
      </w:r>
      <w:r w:rsidR="00686AD7" w:rsidRPr="005E4A3E">
        <w:rPr>
          <w:rFonts w:ascii="Times New Roman" w:hAnsi="Times New Roman" w:cs="Times New Roman"/>
        </w:rPr>
        <w:t xml:space="preserve"> dubbed the ‘new urban social history’.</w:t>
      </w:r>
      <w:r w:rsidR="00686AD7" w:rsidRPr="005E4A3E">
        <w:rPr>
          <w:rStyle w:val="FootnoteReference"/>
          <w:rFonts w:ascii="Times New Roman" w:hAnsi="Times New Roman" w:cs="Times New Roman"/>
        </w:rPr>
        <w:footnoteReference w:id="7"/>
      </w:r>
      <w:r w:rsidR="00686AD7" w:rsidRPr="005E4A3E">
        <w:rPr>
          <w:rFonts w:ascii="Times New Roman" w:hAnsi="Times New Roman" w:cs="Times New Roman"/>
        </w:rPr>
        <w:t xml:space="preserve"> </w:t>
      </w:r>
      <w:r w:rsidR="004F2928" w:rsidRPr="005E4A3E">
        <w:rPr>
          <w:rFonts w:ascii="Times New Roman" w:hAnsi="Times New Roman" w:cs="Times New Roman"/>
        </w:rPr>
        <w:t>What each of t</w:t>
      </w:r>
      <w:r w:rsidR="00BA3F42" w:rsidRPr="005E4A3E">
        <w:rPr>
          <w:rFonts w:ascii="Times New Roman" w:hAnsi="Times New Roman" w:cs="Times New Roman"/>
        </w:rPr>
        <w:t>he theses covered here</w:t>
      </w:r>
      <w:r w:rsidR="004F2928" w:rsidRPr="005E4A3E">
        <w:rPr>
          <w:rFonts w:ascii="Times New Roman" w:hAnsi="Times New Roman" w:cs="Times New Roman"/>
        </w:rPr>
        <w:t xml:space="preserve"> represent</w:t>
      </w:r>
      <w:r w:rsidR="008E16AD">
        <w:rPr>
          <w:rFonts w:ascii="Times New Roman" w:hAnsi="Times New Roman" w:cs="Times New Roman"/>
        </w:rPr>
        <w:t>s</w:t>
      </w:r>
      <w:r w:rsidR="004F2928" w:rsidRPr="005E4A3E">
        <w:rPr>
          <w:rFonts w:ascii="Times New Roman" w:hAnsi="Times New Roman" w:cs="Times New Roman"/>
        </w:rPr>
        <w:t xml:space="preserve"> is the variety</w:t>
      </w:r>
      <w:r w:rsidR="00F46D28" w:rsidRPr="005E4A3E">
        <w:rPr>
          <w:rFonts w:ascii="Times New Roman" w:hAnsi="Times New Roman" w:cs="Times New Roman"/>
        </w:rPr>
        <w:t xml:space="preserve"> of methodological and disciplinary approaches to </w:t>
      </w:r>
      <w:r w:rsidR="004B42A3" w:rsidRPr="005E4A3E">
        <w:rPr>
          <w:rFonts w:ascii="Times New Roman" w:hAnsi="Times New Roman" w:cs="Times New Roman"/>
        </w:rPr>
        <w:t>the examination of post-war urban Britain</w:t>
      </w:r>
      <w:r w:rsidR="00F46D28" w:rsidRPr="005E4A3E">
        <w:rPr>
          <w:rFonts w:ascii="Times New Roman" w:hAnsi="Times New Roman" w:cs="Times New Roman"/>
        </w:rPr>
        <w:t>, but also the manner in whi</w:t>
      </w:r>
      <w:r w:rsidR="004B42A3" w:rsidRPr="005E4A3E">
        <w:rPr>
          <w:rFonts w:ascii="Times New Roman" w:hAnsi="Times New Roman" w:cs="Times New Roman"/>
        </w:rPr>
        <w:t xml:space="preserve">ch attention to urban </w:t>
      </w:r>
      <w:r w:rsidR="004B42A3" w:rsidRPr="005E4A3E">
        <w:rPr>
          <w:rFonts w:ascii="Times New Roman" w:hAnsi="Times New Roman" w:cs="Times New Roman"/>
        </w:rPr>
        <w:lastRenderedPageBreak/>
        <w:t xml:space="preserve">space, </w:t>
      </w:r>
      <w:r w:rsidR="00F46D28" w:rsidRPr="005E4A3E">
        <w:rPr>
          <w:rFonts w:ascii="Times New Roman" w:hAnsi="Times New Roman" w:cs="Times New Roman"/>
        </w:rPr>
        <w:t>its governance</w:t>
      </w:r>
      <w:r w:rsidR="004B42A3" w:rsidRPr="005E4A3E">
        <w:rPr>
          <w:rFonts w:ascii="Times New Roman" w:hAnsi="Times New Roman" w:cs="Times New Roman"/>
        </w:rPr>
        <w:t xml:space="preserve"> and experience,</w:t>
      </w:r>
      <w:r w:rsidR="00F46D28" w:rsidRPr="005E4A3E">
        <w:rPr>
          <w:rFonts w:ascii="Times New Roman" w:hAnsi="Times New Roman" w:cs="Times New Roman"/>
        </w:rPr>
        <w:t xml:space="preserve"> can intervene in the </w:t>
      </w:r>
      <w:r w:rsidR="009F12B5" w:rsidRPr="005E4A3E">
        <w:rPr>
          <w:rFonts w:ascii="Times New Roman" w:hAnsi="Times New Roman" w:cs="Times New Roman"/>
        </w:rPr>
        <w:t xml:space="preserve">competing </w:t>
      </w:r>
      <w:r w:rsidR="00F46D28" w:rsidRPr="005E4A3E">
        <w:rPr>
          <w:rFonts w:ascii="Times New Roman" w:hAnsi="Times New Roman" w:cs="Times New Roman"/>
        </w:rPr>
        <w:t>nar</w:t>
      </w:r>
      <w:r w:rsidR="009F12B5" w:rsidRPr="005E4A3E">
        <w:rPr>
          <w:rFonts w:ascii="Times New Roman" w:hAnsi="Times New Roman" w:cs="Times New Roman"/>
        </w:rPr>
        <w:t>ratives present in</w:t>
      </w:r>
      <w:r w:rsidR="004B42A3" w:rsidRPr="005E4A3E">
        <w:rPr>
          <w:rFonts w:ascii="Times New Roman" w:hAnsi="Times New Roman" w:cs="Times New Roman"/>
        </w:rPr>
        <w:t xml:space="preserve"> recent social histories of</w:t>
      </w:r>
      <w:r w:rsidR="00735016">
        <w:rPr>
          <w:rFonts w:ascii="Times New Roman" w:hAnsi="Times New Roman" w:cs="Times New Roman"/>
        </w:rPr>
        <w:t xml:space="preserve"> Britain.</w:t>
      </w:r>
    </w:p>
    <w:p w14:paraId="7B9C9276" w14:textId="0C5CB17A" w:rsidR="00E276A0" w:rsidRPr="005E4A3E" w:rsidRDefault="004F2928" w:rsidP="00732322">
      <w:pPr>
        <w:spacing w:line="480" w:lineRule="auto"/>
        <w:jc w:val="both"/>
        <w:rPr>
          <w:rFonts w:ascii="Times New Roman" w:hAnsi="Times New Roman" w:cs="Times New Roman"/>
        </w:rPr>
      </w:pPr>
      <w:r w:rsidRPr="005E4A3E">
        <w:rPr>
          <w:rFonts w:ascii="Times New Roman" w:hAnsi="Times New Roman" w:cs="Times New Roman"/>
        </w:rPr>
        <w:tab/>
        <w:t xml:space="preserve">The </w:t>
      </w:r>
      <w:r w:rsidR="00E16E03" w:rsidRPr="005E4A3E">
        <w:rPr>
          <w:rFonts w:ascii="Times New Roman" w:hAnsi="Times New Roman" w:cs="Times New Roman"/>
        </w:rPr>
        <w:t>contributions</w:t>
      </w:r>
      <w:r w:rsidRPr="005E4A3E">
        <w:rPr>
          <w:rFonts w:ascii="Times New Roman" w:hAnsi="Times New Roman" w:cs="Times New Roman"/>
        </w:rPr>
        <w:t xml:space="preserve"> of Alistair Kefford and Otto Saumarez Smith</w:t>
      </w:r>
      <w:r w:rsidR="00F53C65" w:rsidRPr="005E4A3E">
        <w:rPr>
          <w:rFonts w:ascii="Times New Roman" w:hAnsi="Times New Roman" w:cs="Times New Roman"/>
        </w:rPr>
        <w:t xml:space="preserve"> to this </w:t>
      </w:r>
      <w:r w:rsidR="00C64E09">
        <w:rPr>
          <w:rFonts w:ascii="Times New Roman" w:hAnsi="Times New Roman" w:cs="Times New Roman"/>
        </w:rPr>
        <w:t>survey</w:t>
      </w:r>
      <w:r w:rsidRPr="005E4A3E">
        <w:rPr>
          <w:rFonts w:ascii="Times New Roman" w:hAnsi="Times New Roman" w:cs="Times New Roman"/>
        </w:rPr>
        <w:t xml:space="preserve"> are perh</w:t>
      </w:r>
      <w:r w:rsidR="00F46D28" w:rsidRPr="005E4A3E">
        <w:rPr>
          <w:rFonts w:ascii="Times New Roman" w:hAnsi="Times New Roman" w:cs="Times New Roman"/>
        </w:rPr>
        <w:t xml:space="preserve">aps at the more traditional end of the </w:t>
      </w:r>
      <w:r w:rsidR="00445016" w:rsidRPr="005E4A3E">
        <w:rPr>
          <w:rFonts w:ascii="Times New Roman" w:hAnsi="Times New Roman" w:cs="Times New Roman"/>
        </w:rPr>
        <w:t>field’s spectrum</w:t>
      </w:r>
      <w:r w:rsidR="00F46D28" w:rsidRPr="005E4A3E">
        <w:rPr>
          <w:rFonts w:ascii="Times New Roman" w:hAnsi="Times New Roman" w:cs="Times New Roman"/>
        </w:rPr>
        <w:t xml:space="preserve"> in term</w:t>
      </w:r>
      <w:r w:rsidR="00E16E03" w:rsidRPr="005E4A3E">
        <w:rPr>
          <w:rFonts w:ascii="Times New Roman" w:hAnsi="Times New Roman" w:cs="Times New Roman"/>
        </w:rPr>
        <w:t>s</w:t>
      </w:r>
      <w:r w:rsidR="00F46D28" w:rsidRPr="005E4A3E">
        <w:rPr>
          <w:rFonts w:ascii="Times New Roman" w:hAnsi="Times New Roman" w:cs="Times New Roman"/>
        </w:rPr>
        <w:t xml:space="preserve"> of their disciplinary backgrounds</w:t>
      </w:r>
      <w:r w:rsidR="00445016" w:rsidRPr="005E4A3E">
        <w:rPr>
          <w:rFonts w:ascii="Times New Roman" w:hAnsi="Times New Roman" w:cs="Times New Roman"/>
        </w:rPr>
        <w:t>,</w:t>
      </w:r>
      <w:r w:rsidR="00F46D28" w:rsidRPr="005E4A3E">
        <w:rPr>
          <w:rFonts w:ascii="Times New Roman" w:hAnsi="Times New Roman" w:cs="Times New Roman"/>
        </w:rPr>
        <w:t xml:space="preserve"> if not their own particular approaches.</w:t>
      </w:r>
      <w:r w:rsidR="00F46D28" w:rsidRPr="005E4A3E">
        <w:rPr>
          <w:rStyle w:val="FootnoteReference"/>
          <w:rFonts w:ascii="Times New Roman" w:hAnsi="Times New Roman" w:cs="Times New Roman"/>
        </w:rPr>
        <w:footnoteReference w:id="8"/>
      </w:r>
      <w:r w:rsidR="00F46D28" w:rsidRPr="005E4A3E">
        <w:rPr>
          <w:rFonts w:ascii="Times New Roman" w:hAnsi="Times New Roman" w:cs="Times New Roman"/>
        </w:rPr>
        <w:t xml:space="preserve"> Kefford’s work is firmly rooted in town planning and spatial histories, whil</w:t>
      </w:r>
      <w:r w:rsidR="00E16E03" w:rsidRPr="005E4A3E">
        <w:rPr>
          <w:rFonts w:ascii="Times New Roman" w:hAnsi="Times New Roman" w:cs="Times New Roman"/>
        </w:rPr>
        <w:t xml:space="preserve">st Saumarez Smith </w:t>
      </w:r>
      <w:r w:rsidR="00A46971" w:rsidRPr="005E4A3E">
        <w:rPr>
          <w:rFonts w:ascii="Times New Roman" w:hAnsi="Times New Roman" w:cs="Times New Roman"/>
        </w:rPr>
        <w:t>tackles</w:t>
      </w:r>
      <w:r w:rsidR="00E16E03" w:rsidRPr="005E4A3E">
        <w:rPr>
          <w:rFonts w:ascii="Times New Roman" w:hAnsi="Times New Roman" w:cs="Times New Roman"/>
        </w:rPr>
        <w:t xml:space="preserve"> </w:t>
      </w:r>
      <w:r w:rsidR="00A46971" w:rsidRPr="005E4A3E">
        <w:rPr>
          <w:rFonts w:ascii="Times New Roman" w:hAnsi="Times New Roman" w:cs="Times New Roman"/>
        </w:rPr>
        <w:t xml:space="preserve">planning during </w:t>
      </w:r>
      <w:r w:rsidR="00E16E03" w:rsidRPr="005E4A3E">
        <w:rPr>
          <w:rFonts w:ascii="Times New Roman" w:hAnsi="Times New Roman" w:cs="Times New Roman"/>
        </w:rPr>
        <w:t>the 1960s from the</w:t>
      </w:r>
      <w:r w:rsidR="00F46D28" w:rsidRPr="005E4A3E">
        <w:rPr>
          <w:rFonts w:ascii="Times New Roman" w:hAnsi="Times New Roman" w:cs="Times New Roman"/>
        </w:rPr>
        <w:t xml:space="preserve"> </w:t>
      </w:r>
      <w:r w:rsidR="00F53C65" w:rsidRPr="005E4A3E">
        <w:rPr>
          <w:rFonts w:ascii="Times New Roman" w:hAnsi="Times New Roman" w:cs="Times New Roman"/>
        </w:rPr>
        <w:t>broad</w:t>
      </w:r>
      <w:r w:rsidR="005A20AC" w:rsidRPr="005E4A3E">
        <w:rPr>
          <w:rFonts w:ascii="Times New Roman" w:hAnsi="Times New Roman" w:cs="Times New Roman"/>
        </w:rPr>
        <w:t xml:space="preserve"> </w:t>
      </w:r>
      <w:r w:rsidR="00F46D28" w:rsidRPr="005E4A3E">
        <w:rPr>
          <w:rFonts w:ascii="Times New Roman" w:hAnsi="Times New Roman" w:cs="Times New Roman"/>
        </w:rPr>
        <w:t xml:space="preserve">perspective of </w:t>
      </w:r>
      <w:r w:rsidR="00445016" w:rsidRPr="005E4A3E">
        <w:rPr>
          <w:rFonts w:ascii="Times New Roman" w:hAnsi="Times New Roman" w:cs="Times New Roman"/>
        </w:rPr>
        <w:t>architectural history.</w:t>
      </w:r>
      <w:r w:rsidR="00F46D28" w:rsidRPr="005E4A3E">
        <w:rPr>
          <w:rFonts w:ascii="Times New Roman" w:hAnsi="Times New Roman" w:cs="Times New Roman"/>
        </w:rPr>
        <w:t xml:space="preserve"> Yet, both </w:t>
      </w:r>
      <w:r w:rsidR="00B61D2F" w:rsidRPr="005E4A3E">
        <w:rPr>
          <w:rFonts w:ascii="Times New Roman" w:hAnsi="Times New Roman" w:cs="Times New Roman"/>
        </w:rPr>
        <w:t>theses</w:t>
      </w:r>
      <w:r w:rsidR="00A46971" w:rsidRPr="005E4A3E">
        <w:rPr>
          <w:rFonts w:ascii="Times New Roman" w:hAnsi="Times New Roman" w:cs="Times New Roman"/>
        </w:rPr>
        <w:t xml:space="preserve"> </w:t>
      </w:r>
      <w:r w:rsidR="00F53C65" w:rsidRPr="005E4A3E">
        <w:rPr>
          <w:rFonts w:ascii="Times New Roman" w:hAnsi="Times New Roman" w:cs="Times New Roman"/>
        </w:rPr>
        <w:t xml:space="preserve">still </w:t>
      </w:r>
      <w:r w:rsidR="005A20AC" w:rsidRPr="005E4A3E">
        <w:rPr>
          <w:rFonts w:ascii="Times New Roman" w:hAnsi="Times New Roman" w:cs="Times New Roman"/>
        </w:rPr>
        <w:t>have much about them that is decidedly fresh.</w:t>
      </w:r>
      <w:r w:rsidR="00F46D28" w:rsidRPr="005E4A3E">
        <w:rPr>
          <w:rFonts w:ascii="Times New Roman" w:hAnsi="Times New Roman" w:cs="Times New Roman"/>
        </w:rPr>
        <w:t xml:space="preserve"> Kefford’</w:t>
      </w:r>
      <w:r w:rsidR="00A46971" w:rsidRPr="005E4A3E">
        <w:rPr>
          <w:rFonts w:ascii="Times New Roman" w:hAnsi="Times New Roman" w:cs="Times New Roman"/>
        </w:rPr>
        <w:t xml:space="preserve">s work, </w:t>
      </w:r>
      <w:r w:rsidR="00BE5C2E" w:rsidRPr="005E4A3E">
        <w:rPr>
          <w:rFonts w:ascii="Times New Roman" w:hAnsi="Times New Roman" w:cs="Times New Roman"/>
        </w:rPr>
        <w:t xml:space="preserve">beginning </w:t>
      </w:r>
      <w:r w:rsidR="00F46D28" w:rsidRPr="005E4A3E">
        <w:rPr>
          <w:rFonts w:ascii="Times New Roman" w:hAnsi="Times New Roman" w:cs="Times New Roman"/>
        </w:rPr>
        <w:t>the</w:t>
      </w:r>
      <w:r w:rsidR="00E16E03" w:rsidRPr="005E4A3E">
        <w:rPr>
          <w:rFonts w:ascii="Times New Roman" w:hAnsi="Times New Roman" w:cs="Times New Roman"/>
        </w:rPr>
        <w:t xml:space="preserve"> earlier of the</w:t>
      </w:r>
      <w:r w:rsidR="00F46D28" w:rsidRPr="005E4A3E">
        <w:rPr>
          <w:rFonts w:ascii="Times New Roman" w:hAnsi="Times New Roman" w:cs="Times New Roman"/>
        </w:rPr>
        <w:t xml:space="preserve"> two pieces</w:t>
      </w:r>
      <w:r w:rsidR="00BE5C2E" w:rsidRPr="005E4A3E">
        <w:rPr>
          <w:rFonts w:ascii="Times New Roman" w:hAnsi="Times New Roman" w:cs="Times New Roman"/>
        </w:rPr>
        <w:t xml:space="preserve"> in 1945</w:t>
      </w:r>
      <w:r w:rsidR="00E16E03" w:rsidRPr="005E4A3E">
        <w:rPr>
          <w:rFonts w:ascii="Times New Roman" w:hAnsi="Times New Roman" w:cs="Times New Roman"/>
        </w:rPr>
        <w:t>,</w:t>
      </w:r>
      <w:r w:rsidR="00445016" w:rsidRPr="005E4A3E">
        <w:rPr>
          <w:rFonts w:ascii="Times New Roman" w:hAnsi="Times New Roman" w:cs="Times New Roman"/>
        </w:rPr>
        <w:t xml:space="preserve"> uses Leeds and Manchester to track post-war redevelopment from the p</w:t>
      </w:r>
      <w:r w:rsidR="00E16E03" w:rsidRPr="005E4A3E">
        <w:rPr>
          <w:rFonts w:ascii="Times New Roman" w:hAnsi="Times New Roman" w:cs="Times New Roman"/>
        </w:rPr>
        <w:t xml:space="preserve">erspective of </w:t>
      </w:r>
      <w:r w:rsidR="00445016" w:rsidRPr="005E4A3E">
        <w:rPr>
          <w:rFonts w:ascii="Times New Roman" w:hAnsi="Times New Roman" w:cs="Times New Roman"/>
        </w:rPr>
        <w:t>state actors</w:t>
      </w:r>
      <w:r w:rsidR="00E16E03" w:rsidRPr="005E4A3E">
        <w:rPr>
          <w:rFonts w:ascii="Times New Roman" w:hAnsi="Times New Roman" w:cs="Times New Roman"/>
        </w:rPr>
        <w:t>’ attempts</w:t>
      </w:r>
      <w:r w:rsidR="00445016" w:rsidRPr="005E4A3E">
        <w:rPr>
          <w:rFonts w:ascii="Times New Roman" w:hAnsi="Times New Roman" w:cs="Times New Roman"/>
        </w:rPr>
        <w:t xml:space="preserve"> to use space to shape the lives and behaviours of citizens</w:t>
      </w:r>
      <w:r w:rsidR="00F46D28" w:rsidRPr="005E4A3E">
        <w:rPr>
          <w:rFonts w:ascii="Times New Roman" w:hAnsi="Times New Roman" w:cs="Times New Roman"/>
        </w:rPr>
        <w:t>.</w:t>
      </w:r>
      <w:r w:rsidR="00E16E03" w:rsidRPr="005E4A3E">
        <w:rPr>
          <w:rFonts w:ascii="Times New Roman" w:hAnsi="Times New Roman" w:cs="Times New Roman"/>
        </w:rPr>
        <w:t xml:space="preserve"> </w:t>
      </w:r>
      <w:r w:rsidR="009F12B5" w:rsidRPr="005E4A3E">
        <w:rPr>
          <w:rFonts w:ascii="Times New Roman" w:hAnsi="Times New Roman" w:cs="Times New Roman"/>
        </w:rPr>
        <w:t xml:space="preserve">Methodologically </w:t>
      </w:r>
      <w:r w:rsidR="00E16E03" w:rsidRPr="005E4A3E">
        <w:rPr>
          <w:rFonts w:ascii="Times New Roman" w:hAnsi="Times New Roman" w:cs="Times New Roman"/>
        </w:rPr>
        <w:t>rooted in Foucauldian understandi</w:t>
      </w:r>
      <w:r w:rsidR="00B41EBB">
        <w:rPr>
          <w:rFonts w:ascii="Times New Roman" w:hAnsi="Times New Roman" w:cs="Times New Roman"/>
        </w:rPr>
        <w:t>ngs of governmentality that owe</w:t>
      </w:r>
      <w:r w:rsidR="00E16E03" w:rsidRPr="005E4A3E">
        <w:rPr>
          <w:rFonts w:ascii="Times New Roman" w:hAnsi="Times New Roman" w:cs="Times New Roman"/>
        </w:rPr>
        <w:t xml:space="preserve"> much to the likes of Ja</w:t>
      </w:r>
      <w:r w:rsidR="00735016">
        <w:rPr>
          <w:rFonts w:ascii="Times New Roman" w:hAnsi="Times New Roman" w:cs="Times New Roman"/>
        </w:rPr>
        <w:t xml:space="preserve">mes C. Scott and Patrick Joyce, </w:t>
      </w:r>
      <w:r w:rsidR="00E16E03" w:rsidRPr="005E4A3E">
        <w:rPr>
          <w:rFonts w:ascii="Times New Roman" w:hAnsi="Times New Roman" w:cs="Times New Roman"/>
        </w:rPr>
        <w:t>Kefford shows how government</w:t>
      </w:r>
      <w:r w:rsidR="00F53C65" w:rsidRPr="005E4A3E">
        <w:rPr>
          <w:rFonts w:ascii="Times New Roman" w:hAnsi="Times New Roman" w:cs="Times New Roman"/>
        </w:rPr>
        <w:t>s</w:t>
      </w:r>
      <w:r w:rsidR="00A46971" w:rsidRPr="005E4A3E">
        <w:rPr>
          <w:rFonts w:ascii="Times New Roman" w:hAnsi="Times New Roman" w:cs="Times New Roman"/>
        </w:rPr>
        <w:t xml:space="preserve">, </w:t>
      </w:r>
      <w:r w:rsidR="00B61D2F" w:rsidRPr="005E4A3E">
        <w:rPr>
          <w:rFonts w:ascii="Times New Roman" w:hAnsi="Times New Roman" w:cs="Times New Roman"/>
        </w:rPr>
        <w:t>particularly</w:t>
      </w:r>
      <w:r w:rsidR="00A46971" w:rsidRPr="005E4A3E">
        <w:rPr>
          <w:rFonts w:ascii="Times New Roman" w:hAnsi="Times New Roman" w:cs="Times New Roman"/>
        </w:rPr>
        <w:t xml:space="preserve"> local corporations and councils</w:t>
      </w:r>
      <w:r w:rsidR="009F12B5" w:rsidRPr="005E4A3E">
        <w:rPr>
          <w:rFonts w:ascii="Times New Roman" w:hAnsi="Times New Roman" w:cs="Times New Roman"/>
        </w:rPr>
        <w:t>,</w:t>
      </w:r>
      <w:r w:rsidR="00A46971" w:rsidRPr="005E4A3E">
        <w:rPr>
          <w:rFonts w:ascii="Times New Roman" w:hAnsi="Times New Roman" w:cs="Times New Roman"/>
        </w:rPr>
        <w:t xml:space="preserve"> attempted to imagine and </w:t>
      </w:r>
      <w:r w:rsidR="00BA3F42" w:rsidRPr="005E4A3E">
        <w:rPr>
          <w:rFonts w:ascii="Times New Roman" w:hAnsi="Times New Roman" w:cs="Times New Roman"/>
        </w:rPr>
        <w:t>produce</w:t>
      </w:r>
      <w:r w:rsidR="00A46971" w:rsidRPr="005E4A3E">
        <w:rPr>
          <w:rFonts w:ascii="Times New Roman" w:hAnsi="Times New Roman" w:cs="Times New Roman"/>
        </w:rPr>
        <w:t xml:space="preserve"> citizen-subjects </w:t>
      </w:r>
      <w:r w:rsidR="009F12B5" w:rsidRPr="005E4A3E">
        <w:rPr>
          <w:rFonts w:ascii="Times New Roman" w:hAnsi="Times New Roman" w:cs="Times New Roman"/>
        </w:rPr>
        <w:t xml:space="preserve">in </w:t>
      </w:r>
      <w:r w:rsidR="00F53C65" w:rsidRPr="005E4A3E">
        <w:rPr>
          <w:rFonts w:ascii="Times New Roman" w:hAnsi="Times New Roman" w:cs="Times New Roman"/>
        </w:rPr>
        <w:t>line with</w:t>
      </w:r>
      <w:r w:rsidR="00A46971" w:rsidRPr="005E4A3E">
        <w:rPr>
          <w:rFonts w:ascii="Times New Roman" w:hAnsi="Times New Roman" w:cs="Times New Roman"/>
        </w:rPr>
        <w:t xml:space="preserve"> their understandings</w:t>
      </w:r>
      <w:r w:rsidR="00E16E03" w:rsidRPr="005E4A3E">
        <w:rPr>
          <w:rFonts w:ascii="Times New Roman" w:hAnsi="Times New Roman" w:cs="Times New Roman"/>
        </w:rPr>
        <w:t xml:space="preserve"> of </w:t>
      </w:r>
      <w:r w:rsidR="00F53C65" w:rsidRPr="005E4A3E">
        <w:rPr>
          <w:rFonts w:ascii="Times New Roman" w:hAnsi="Times New Roman" w:cs="Times New Roman"/>
        </w:rPr>
        <w:t xml:space="preserve">emerging </w:t>
      </w:r>
      <w:r w:rsidR="00E16E03" w:rsidRPr="005E4A3E">
        <w:rPr>
          <w:rFonts w:ascii="Times New Roman" w:hAnsi="Times New Roman" w:cs="Times New Roman"/>
        </w:rPr>
        <w:t>affluence and consumerism.</w:t>
      </w:r>
      <w:r w:rsidR="00E16E03" w:rsidRPr="005E4A3E">
        <w:rPr>
          <w:rStyle w:val="FootnoteReference"/>
          <w:rFonts w:ascii="Times New Roman" w:hAnsi="Times New Roman" w:cs="Times New Roman"/>
        </w:rPr>
        <w:footnoteReference w:id="9"/>
      </w:r>
      <w:r w:rsidR="00B23F09" w:rsidRPr="005E4A3E">
        <w:rPr>
          <w:rFonts w:ascii="Times New Roman" w:hAnsi="Times New Roman" w:cs="Times New Roman"/>
        </w:rPr>
        <w:t xml:space="preserve"> </w:t>
      </w:r>
      <w:r w:rsidR="00E16E03" w:rsidRPr="005E4A3E">
        <w:rPr>
          <w:rFonts w:ascii="Times New Roman" w:hAnsi="Times New Roman" w:cs="Times New Roman"/>
        </w:rPr>
        <w:t xml:space="preserve">This </w:t>
      </w:r>
      <w:r w:rsidR="005A35D1" w:rsidRPr="005E4A3E">
        <w:rPr>
          <w:rFonts w:ascii="Times New Roman" w:hAnsi="Times New Roman" w:cs="Times New Roman"/>
        </w:rPr>
        <w:t>strategy</w:t>
      </w:r>
      <w:r w:rsidR="00E16E03" w:rsidRPr="005E4A3E">
        <w:rPr>
          <w:rFonts w:ascii="Times New Roman" w:hAnsi="Times New Roman" w:cs="Times New Roman"/>
        </w:rPr>
        <w:t xml:space="preserve"> was, he shows, expressed in the arrangement of new shopping centres,</w:t>
      </w:r>
      <w:r w:rsidR="005A35D1" w:rsidRPr="005E4A3E">
        <w:rPr>
          <w:rFonts w:ascii="Times New Roman" w:hAnsi="Times New Roman" w:cs="Times New Roman"/>
        </w:rPr>
        <w:t xml:space="preserve"> the reorganisation of transport infrastructures, the regulation of domestic environments and the management of industry and employment</w:t>
      </w:r>
      <w:r w:rsidR="00E16E03" w:rsidRPr="005E4A3E">
        <w:rPr>
          <w:rFonts w:ascii="Times New Roman" w:hAnsi="Times New Roman" w:cs="Times New Roman"/>
        </w:rPr>
        <w:t>.</w:t>
      </w:r>
      <w:r w:rsidR="005A35D1" w:rsidRPr="005E4A3E">
        <w:rPr>
          <w:rFonts w:ascii="Times New Roman" w:hAnsi="Times New Roman" w:cs="Times New Roman"/>
        </w:rPr>
        <w:t xml:space="preserve"> What emerges from the thesis is a picture of </w:t>
      </w:r>
      <w:r w:rsidR="00F53C65" w:rsidRPr="005E4A3E">
        <w:rPr>
          <w:rFonts w:ascii="Times New Roman" w:hAnsi="Times New Roman" w:cs="Times New Roman"/>
        </w:rPr>
        <w:t>national and</w:t>
      </w:r>
      <w:r w:rsidR="009F12B5" w:rsidRPr="005E4A3E">
        <w:rPr>
          <w:rFonts w:ascii="Times New Roman" w:hAnsi="Times New Roman" w:cs="Times New Roman"/>
        </w:rPr>
        <w:t xml:space="preserve"> </w:t>
      </w:r>
      <w:r w:rsidR="00A46971" w:rsidRPr="005E4A3E">
        <w:rPr>
          <w:rFonts w:ascii="Times New Roman" w:hAnsi="Times New Roman" w:cs="Times New Roman"/>
        </w:rPr>
        <w:t xml:space="preserve">local governments endorsing specific </w:t>
      </w:r>
      <w:r w:rsidR="005A35D1" w:rsidRPr="005E4A3E">
        <w:rPr>
          <w:rFonts w:ascii="Times New Roman" w:hAnsi="Times New Roman" w:cs="Times New Roman"/>
        </w:rPr>
        <w:t>models of urban consumption</w:t>
      </w:r>
      <w:r w:rsidR="00BE5C2E" w:rsidRPr="005E4A3E">
        <w:rPr>
          <w:rFonts w:ascii="Times New Roman" w:hAnsi="Times New Roman" w:cs="Times New Roman"/>
        </w:rPr>
        <w:t xml:space="preserve"> from the late 1950s</w:t>
      </w:r>
      <w:r w:rsidR="009F12B5" w:rsidRPr="005E4A3E">
        <w:rPr>
          <w:rFonts w:ascii="Times New Roman" w:hAnsi="Times New Roman" w:cs="Times New Roman"/>
        </w:rPr>
        <w:t xml:space="preserve">, </w:t>
      </w:r>
      <w:r w:rsidR="005A20AC" w:rsidRPr="005E4A3E">
        <w:rPr>
          <w:rFonts w:ascii="Times New Roman" w:hAnsi="Times New Roman" w:cs="Times New Roman"/>
        </w:rPr>
        <w:t>which they attempted</w:t>
      </w:r>
      <w:r w:rsidR="00A46971" w:rsidRPr="005E4A3E">
        <w:rPr>
          <w:rFonts w:ascii="Times New Roman" w:hAnsi="Times New Roman" w:cs="Times New Roman"/>
        </w:rPr>
        <w:t xml:space="preserve"> </w:t>
      </w:r>
      <w:r w:rsidR="005A20AC" w:rsidRPr="005E4A3E">
        <w:rPr>
          <w:rFonts w:ascii="Times New Roman" w:hAnsi="Times New Roman" w:cs="Times New Roman"/>
        </w:rPr>
        <w:t>to reproduce amongst citizens</w:t>
      </w:r>
      <w:r w:rsidR="00A46971" w:rsidRPr="005E4A3E">
        <w:rPr>
          <w:rFonts w:ascii="Times New Roman" w:hAnsi="Times New Roman" w:cs="Times New Roman"/>
        </w:rPr>
        <w:t xml:space="preserve"> through the</w:t>
      </w:r>
      <w:r w:rsidR="005A20AC" w:rsidRPr="005E4A3E">
        <w:rPr>
          <w:rFonts w:ascii="Times New Roman" w:hAnsi="Times New Roman" w:cs="Times New Roman"/>
        </w:rPr>
        <w:t xml:space="preserve"> </w:t>
      </w:r>
      <w:r w:rsidR="00EF1461" w:rsidRPr="005E4A3E">
        <w:rPr>
          <w:rFonts w:ascii="Times New Roman" w:hAnsi="Times New Roman" w:cs="Times New Roman"/>
        </w:rPr>
        <w:t>planning</w:t>
      </w:r>
      <w:r w:rsidR="005A20AC" w:rsidRPr="005E4A3E">
        <w:rPr>
          <w:rFonts w:ascii="Times New Roman" w:hAnsi="Times New Roman" w:cs="Times New Roman"/>
        </w:rPr>
        <w:t xml:space="preserve"> of the</w:t>
      </w:r>
      <w:r w:rsidR="00A46971" w:rsidRPr="005E4A3E">
        <w:rPr>
          <w:rFonts w:ascii="Times New Roman" w:hAnsi="Times New Roman" w:cs="Times New Roman"/>
        </w:rPr>
        <w:t xml:space="preserve"> built environment</w:t>
      </w:r>
      <w:r w:rsidR="005A35D1" w:rsidRPr="005E4A3E">
        <w:rPr>
          <w:rFonts w:ascii="Times New Roman" w:hAnsi="Times New Roman" w:cs="Times New Roman"/>
        </w:rPr>
        <w:t xml:space="preserve">. </w:t>
      </w:r>
      <w:r w:rsidR="00A46971" w:rsidRPr="005E4A3E">
        <w:rPr>
          <w:rFonts w:ascii="Times New Roman" w:hAnsi="Times New Roman" w:cs="Times New Roman"/>
        </w:rPr>
        <w:t>This encoding of mass consumerism</w:t>
      </w:r>
      <w:r w:rsidR="00EF1461" w:rsidRPr="005E4A3E">
        <w:rPr>
          <w:rFonts w:ascii="Times New Roman" w:hAnsi="Times New Roman" w:cs="Times New Roman"/>
        </w:rPr>
        <w:t xml:space="preserve"> </w:t>
      </w:r>
      <w:r w:rsidR="00B41EBB">
        <w:rPr>
          <w:rFonts w:ascii="Times New Roman" w:hAnsi="Times New Roman" w:cs="Times New Roman"/>
        </w:rPr>
        <w:t xml:space="preserve">in urban policy </w:t>
      </w:r>
      <w:r w:rsidR="00A46971" w:rsidRPr="005E4A3E">
        <w:rPr>
          <w:rFonts w:ascii="Times New Roman" w:hAnsi="Times New Roman" w:cs="Times New Roman"/>
        </w:rPr>
        <w:t>represented</w:t>
      </w:r>
      <w:r w:rsidR="005A35D1" w:rsidRPr="005E4A3E">
        <w:rPr>
          <w:rFonts w:ascii="Times New Roman" w:hAnsi="Times New Roman" w:cs="Times New Roman"/>
        </w:rPr>
        <w:t xml:space="preserve"> an attempt to ensure an effective </w:t>
      </w:r>
      <w:proofErr w:type="spellStart"/>
      <w:r w:rsidR="005A20AC" w:rsidRPr="005E4A3E">
        <w:rPr>
          <w:rFonts w:ascii="Times New Roman" w:hAnsi="Times New Roman" w:cs="Times New Roman"/>
        </w:rPr>
        <w:t>spatio</w:t>
      </w:r>
      <w:proofErr w:type="spellEnd"/>
      <w:r w:rsidR="005A20AC" w:rsidRPr="005E4A3E">
        <w:rPr>
          <w:rFonts w:ascii="Times New Roman" w:hAnsi="Times New Roman" w:cs="Times New Roman"/>
        </w:rPr>
        <w:t>-</w:t>
      </w:r>
      <w:r w:rsidR="005A35D1" w:rsidRPr="005E4A3E">
        <w:rPr>
          <w:rFonts w:ascii="Times New Roman" w:hAnsi="Times New Roman" w:cs="Times New Roman"/>
        </w:rPr>
        <w:t>economic foundation in the face</w:t>
      </w:r>
      <w:r w:rsidR="00BE5C2E" w:rsidRPr="005E4A3E">
        <w:rPr>
          <w:rFonts w:ascii="Times New Roman" w:hAnsi="Times New Roman" w:cs="Times New Roman"/>
        </w:rPr>
        <w:t xml:space="preserve"> of</w:t>
      </w:r>
      <w:r w:rsidR="005A35D1" w:rsidRPr="005E4A3E">
        <w:rPr>
          <w:rFonts w:ascii="Times New Roman" w:hAnsi="Times New Roman" w:cs="Times New Roman"/>
        </w:rPr>
        <w:t xml:space="preserve"> anxieties over deindustrialisation. </w:t>
      </w:r>
      <w:r w:rsidR="00A46971" w:rsidRPr="005E4A3E">
        <w:rPr>
          <w:rFonts w:ascii="Times New Roman" w:hAnsi="Times New Roman" w:cs="Times New Roman"/>
        </w:rPr>
        <w:t xml:space="preserve">In doing so </w:t>
      </w:r>
      <w:r w:rsidR="005A35D1" w:rsidRPr="005E4A3E">
        <w:rPr>
          <w:rFonts w:ascii="Times New Roman" w:hAnsi="Times New Roman" w:cs="Times New Roman"/>
        </w:rPr>
        <w:t xml:space="preserve">Kefford </w:t>
      </w:r>
      <w:r w:rsidR="00A46971" w:rsidRPr="005E4A3E">
        <w:rPr>
          <w:rFonts w:ascii="Times New Roman" w:hAnsi="Times New Roman" w:cs="Times New Roman"/>
        </w:rPr>
        <w:t xml:space="preserve">demonstrates the salience of consumerism and </w:t>
      </w:r>
      <w:r w:rsidR="002D380C" w:rsidRPr="005E4A3E">
        <w:rPr>
          <w:rFonts w:ascii="Times New Roman" w:hAnsi="Times New Roman" w:cs="Times New Roman"/>
        </w:rPr>
        <w:t>a set of</w:t>
      </w:r>
      <w:r w:rsidR="00A46971" w:rsidRPr="005E4A3E">
        <w:rPr>
          <w:rFonts w:ascii="Times New Roman" w:hAnsi="Times New Roman" w:cs="Times New Roman"/>
        </w:rPr>
        <w:t xml:space="preserve"> assumptions about </w:t>
      </w:r>
      <w:r w:rsidR="005A35D1" w:rsidRPr="005E4A3E">
        <w:rPr>
          <w:rFonts w:ascii="Times New Roman" w:hAnsi="Times New Roman" w:cs="Times New Roman"/>
        </w:rPr>
        <w:t>affluence</w:t>
      </w:r>
      <w:r w:rsidR="00A46971" w:rsidRPr="005E4A3E">
        <w:rPr>
          <w:rFonts w:ascii="Times New Roman" w:hAnsi="Times New Roman" w:cs="Times New Roman"/>
        </w:rPr>
        <w:t xml:space="preserve"> and affluent citizens</w:t>
      </w:r>
      <w:r w:rsidR="005A35D1" w:rsidRPr="005E4A3E">
        <w:rPr>
          <w:rFonts w:ascii="Times New Roman" w:hAnsi="Times New Roman" w:cs="Times New Roman"/>
        </w:rPr>
        <w:t xml:space="preserve"> </w:t>
      </w:r>
      <w:r w:rsidR="00F53C65" w:rsidRPr="005E4A3E">
        <w:rPr>
          <w:rFonts w:ascii="Times New Roman" w:hAnsi="Times New Roman" w:cs="Times New Roman"/>
        </w:rPr>
        <w:t xml:space="preserve">to policies that saw </w:t>
      </w:r>
      <w:r w:rsidR="00F53C65" w:rsidRPr="005E4A3E">
        <w:rPr>
          <w:rFonts w:ascii="Times New Roman" w:hAnsi="Times New Roman" w:cs="Times New Roman"/>
        </w:rPr>
        <w:lastRenderedPageBreak/>
        <w:t>space and the economy as inseparable</w:t>
      </w:r>
      <w:r w:rsidR="005A35D1" w:rsidRPr="005E4A3E">
        <w:rPr>
          <w:rFonts w:ascii="Times New Roman" w:hAnsi="Times New Roman" w:cs="Times New Roman"/>
        </w:rPr>
        <w:t xml:space="preserve">, echoing narratives that have placed the affluent society at the heart of post-war </w:t>
      </w:r>
      <w:r w:rsidR="00BE5C2E" w:rsidRPr="005E4A3E">
        <w:rPr>
          <w:rFonts w:ascii="Times New Roman" w:hAnsi="Times New Roman" w:cs="Times New Roman"/>
        </w:rPr>
        <w:t>British policy</w:t>
      </w:r>
      <w:r w:rsidR="005A35D1" w:rsidRPr="005E4A3E">
        <w:rPr>
          <w:rFonts w:ascii="Times New Roman" w:hAnsi="Times New Roman" w:cs="Times New Roman"/>
        </w:rPr>
        <w:t>.</w:t>
      </w:r>
      <w:r w:rsidR="00281F49" w:rsidRPr="005E4A3E">
        <w:rPr>
          <w:rStyle w:val="FootnoteReference"/>
          <w:rFonts w:ascii="Times New Roman" w:hAnsi="Times New Roman" w:cs="Times New Roman"/>
        </w:rPr>
        <w:footnoteReference w:id="10"/>
      </w:r>
      <w:r w:rsidR="005A35D1" w:rsidRPr="005E4A3E">
        <w:rPr>
          <w:rFonts w:ascii="Times New Roman" w:hAnsi="Times New Roman" w:cs="Times New Roman"/>
        </w:rPr>
        <w:t xml:space="preserve"> </w:t>
      </w:r>
    </w:p>
    <w:p w14:paraId="1DAA1A18" w14:textId="78799081" w:rsidR="003F782A" w:rsidRDefault="00E276A0" w:rsidP="00732322">
      <w:pPr>
        <w:spacing w:line="480" w:lineRule="auto"/>
        <w:jc w:val="both"/>
        <w:rPr>
          <w:rFonts w:ascii="Times New Roman" w:hAnsi="Times New Roman" w:cs="Times New Roman"/>
        </w:rPr>
      </w:pPr>
      <w:r w:rsidRPr="005E4A3E">
        <w:rPr>
          <w:rFonts w:ascii="Times New Roman" w:hAnsi="Times New Roman" w:cs="Times New Roman"/>
        </w:rPr>
        <w:tab/>
      </w:r>
      <w:r w:rsidR="00BE5C2E" w:rsidRPr="005E4A3E">
        <w:rPr>
          <w:rFonts w:ascii="Times New Roman" w:hAnsi="Times New Roman" w:cs="Times New Roman"/>
        </w:rPr>
        <w:t>In comparison to Kefford</w:t>
      </w:r>
      <w:r w:rsidR="00891428" w:rsidRPr="005E4A3E">
        <w:rPr>
          <w:rFonts w:ascii="Times New Roman" w:hAnsi="Times New Roman" w:cs="Times New Roman"/>
        </w:rPr>
        <w:t>,</w:t>
      </w:r>
      <w:r w:rsidR="0003060E" w:rsidRPr="005E4A3E">
        <w:rPr>
          <w:rFonts w:ascii="Times New Roman" w:hAnsi="Times New Roman" w:cs="Times New Roman"/>
        </w:rPr>
        <w:t xml:space="preserve"> </w:t>
      </w:r>
      <w:r w:rsidR="00B61D2F" w:rsidRPr="005E4A3E">
        <w:rPr>
          <w:rFonts w:ascii="Times New Roman" w:hAnsi="Times New Roman" w:cs="Times New Roman"/>
        </w:rPr>
        <w:t xml:space="preserve">Saumarez Smith’s </w:t>
      </w:r>
      <w:r w:rsidR="0003060E" w:rsidRPr="005E4A3E">
        <w:rPr>
          <w:rFonts w:ascii="Times New Roman" w:hAnsi="Times New Roman" w:cs="Times New Roman"/>
        </w:rPr>
        <w:t>work</w:t>
      </w:r>
      <w:r w:rsidR="00735016">
        <w:rPr>
          <w:rFonts w:ascii="Times New Roman" w:hAnsi="Times New Roman" w:cs="Times New Roman"/>
        </w:rPr>
        <w:t xml:space="preserve"> – </w:t>
      </w:r>
      <w:r w:rsidR="00891428" w:rsidRPr="005E4A3E">
        <w:rPr>
          <w:rFonts w:ascii="Times New Roman" w:hAnsi="Times New Roman" w:cs="Times New Roman"/>
        </w:rPr>
        <w:t>which has now formed t</w:t>
      </w:r>
      <w:r w:rsidR="00735016">
        <w:rPr>
          <w:rFonts w:ascii="Times New Roman" w:hAnsi="Times New Roman" w:cs="Times New Roman"/>
        </w:rPr>
        <w:t>he core of his first monograph –</w:t>
      </w:r>
      <w:r w:rsidR="0003060E" w:rsidRPr="005E4A3E">
        <w:rPr>
          <w:rFonts w:ascii="Times New Roman" w:hAnsi="Times New Roman" w:cs="Times New Roman"/>
        </w:rPr>
        <w:t xml:space="preserve"> focuses much of its study on just a few years from the early 1960s onwards</w:t>
      </w:r>
      <w:r w:rsidR="00891428" w:rsidRPr="005E4A3E">
        <w:rPr>
          <w:rFonts w:ascii="Times New Roman" w:hAnsi="Times New Roman" w:cs="Times New Roman"/>
        </w:rPr>
        <w:t>.</w:t>
      </w:r>
      <w:r w:rsidR="00891428" w:rsidRPr="005E4A3E">
        <w:rPr>
          <w:rStyle w:val="FootnoteReference"/>
          <w:rFonts w:ascii="Times New Roman" w:hAnsi="Times New Roman" w:cs="Times New Roman"/>
        </w:rPr>
        <w:footnoteReference w:id="11"/>
      </w:r>
      <w:r w:rsidR="00891428" w:rsidRPr="005E4A3E">
        <w:rPr>
          <w:rFonts w:ascii="Times New Roman" w:hAnsi="Times New Roman" w:cs="Times New Roman"/>
        </w:rPr>
        <w:t xml:space="preserve"> Nevertheless, he</w:t>
      </w:r>
      <w:r w:rsidR="0003060E" w:rsidRPr="005E4A3E">
        <w:rPr>
          <w:rFonts w:ascii="Times New Roman" w:hAnsi="Times New Roman" w:cs="Times New Roman"/>
        </w:rPr>
        <w:t xml:space="preserve"> comes to conclusions that have similar weight for our understandings of consumerism, affluence</w:t>
      </w:r>
      <w:r w:rsidR="00EF1461" w:rsidRPr="005E4A3E">
        <w:rPr>
          <w:rFonts w:ascii="Times New Roman" w:hAnsi="Times New Roman" w:cs="Times New Roman"/>
        </w:rPr>
        <w:t>,</w:t>
      </w:r>
      <w:r w:rsidR="0003060E" w:rsidRPr="005E4A3E">
        <w:rPr>
          <w:rFonts w:ascii="Times New Roman" w:hAnsi="Times New Roman" w:cs="Times New Roman"/>
        </w:rPr>
        <w:t xml:space="preserve"> deindustrialization and the importance of private capital</w:t>
      </w:r>
      <w:r w:rsidR="009F12B5" w:rsidRPr="005E4A3E">
        <w:rPr>
          <w:rFonts w:ascii="Times New Roman" w:hAnsi="Times New Roman" w:cs="Times New Roman"/>
        </w:rPr>
        <w:t xml:space="preserve"> in shaping urban space</w:t>
      </w:r>
      <w:r w:rsidR="009816AE" w:rsidRPr="005E4A3E">
        <w:rPr>
          <w:rFonts w:ascii="Times New Roman" w:hAnsi="Times New Roman" w:cs="Times New Roman"/>
        </w:rPr>
        <w:t>.</w:t>
      </w:r>
      <w:r w:rsidR="00891428" w:rsidRPr="005E4A3E">
        <w:rPr>
          <w:rStyle w:val="FootnoteReference"/>
          <w:rFonts w:ascii="Times New Roman" w:hAnsi="Times New Roman" w:cs="Times New Roman"/>
        </w:rPr>
        <w:t xml:space="preserve"> </w:t>
      </w:r>
      <w:r w:rsidR="009816AE" w:rsidRPr="005E4A3E">
        <w:rPr>
          <w:rFonts w:ascii="Times New Roman" w:hAnsi="Times New Roman" w:cs="Times New Roman"/>
        </w:rPr>
        <w:t xml:space="preserve">Indeed, </w:t>
      </w:r>
      <w:r w:rsidR="00EF1461" w:rsidRPr="005E4A3E">
        <w:rPr>
          <w:rFonts w:ascii="Times New Roman" w:hAnsi="Times New Roman" w:cs="Times New Roman"/>
        </w:rPr>
        <w:t>despite</w:t>
      </w:r>
      <w:r w:rsidR="009816AE" w:rsidRPr="005E4A3E">
        <w:rPr>
          <w:rFonts w:ascii="Times New Roman" w:hAnsi="Times New Roman" w:cs="Times New Roman"/>
        </w:rPr>
        <w:t xml:space="preserve"> a rather different </w:t>
      </w:r>
      <w:r w:rsidR="00EF1461" w:rsidRPr="005E4A3E">
        <w:rPr>
          <w:rFonts w:ascii="Times New Roman" w:hAnsi="Times New Roman" w:cs="Times New Roman"/>
        </w:rPr>
        <w:t>approach</w:t>
      </w:r>
      <w:r w:rsidR="009816AE" w:rsidRPr="005E4A3E">
        <w:rPr>
          <w:rFonts w:ascii="Times New Roman" w:hAnsi="Times New Roman" w:cs="Times New Roman"/>
        </w:rPr>
        <w:t>, Saumarez Smith’s</w:t>
      </w:r>
      <w:r w:rsidR="0095519B" w:rsidRPr="005E4A3E">
        <w:rPr>
          <w:rFonts w:ascii="Times New Roman" w:hAnsi="Times New Roman" w:cs="Times New Roman"/>
        </w:rPr>
        <w:t xml:space="preserve"> </w:t>
      </w:r>
      <w:r w:rsidR="0003060E" w:rsidRPr="005E4A3E">
        <w:rPr>
          <w:rFonts w:ascii="Times New Roman" w:hAnsi="Times New Roman" w:cs="Times New Roman"/>
        </w:rPr>
        <w:t xml:space="preserve">second-chapter </w:t>
      </w:r>
      <w:r w:rsidR="0095519B" w:rsidRPr="005E4A3E">
        <w:rPr>
          <w:rFonts w:ascii="Times New Roman" w:hAnsi="Times New Roman" w:cs="Times New Roman"/>
        </w:rPr>
        <w:t xml:space="preserve">case study of </w:t>
      </w:r>
      <w:r w:rsidR="009816AE" w:rsidRPr="005E4A3E">
        <w:rPr>
          <w:rFonts w:ascii="Times New Roman" w:hAnsi="Times New Roman" w:cs="Times New Roman"/>
        </w:rPr>
        <w:t>Blackburn C</w:t>
      </w:r>
      <w:r w:rsidR="0095519B" w:rsidRPr="005E4A3E">
        <w:rPr>
          <w:rFonts w:ascii="Times New Roman" w:hAnsi="Times New Roman" w:cs="Times New Roman"/>
        </w:rPr>
        <w:t>ouncil’</w:t>
      </w:r>
      <w:r w:rsidR="006A1D9A" w:rsidRPr="005E4A3E">
        <w:rPr>
          <w:rFonts w:ascii="Times New Roman" w:hAnsi="Times New Roman" w:cs="Times New Roman"/>
        </w:rPr>
        <w:t>s</w:t>
      </w:r>
      <w:r w:rsidR="0095519B" w:rsidRPr="005E4A3E">
        <w:rPr>
          <w:rFonts w:ascii="Times New Roman" w:hAnsi="Times New Roman" w:cs="Times New Roman"/>
        </w:rPr>
        <w:t xml:space="preserve"> develop</w:t>
      </w:r>
      <w:r w:rsidR="006A1D9A" w:rsidRPr="005E4A3E">
        <w:rPr>
          <w:rFonts w:ascii="Times New Roman" w:hAnsi="Times New Roman" w:cs="Times New Roman"/>
        </w:rPr>
        <w:t>ment of</w:t>
      </w:r>
      <w:r w:rsidR="0095519B" w:rsidRPr="005E4A3E">
        <w:rPr>
          <w:rFonts w:ascii="Times New Roman" w:hAnsi="Times New Roman" w:cs="Times New Roman"/>
        </w:rPr>
        <w:t xml:space="preserve"> a star</w:t>
      </w:r>
      <w:r w:rsidR="00EF1461" w:rsidRPr="005E4A3E">
        <w:rPr>
          <w:rFonts w:ascii="Times New Roman" w:hAnsi="Times New Roman" w:cs="Times New Roman"/>
        </w:rPr>
        <w:t xml:space="preserve">tling modernist shopping centre, </w:t>
      </w:r>
      <w:r w:rsidR="009F12B5" w:rsidRPr="005E4A3E">
        <w:rPr>
          <w:rFonts w:ascii="Times New Roman" w:hAnsi="Times New Roman" w:cs="Times New Roman"/>
        </w:rPr>
        <w:t>echoes</w:t>
      </w:r>
      <w:r w:rsidR="009816AE" w:rsidRPr="005E4A3E">
        <w:rPr>
          <w:rFonts w:ascii="Times New Roman" w:hAnsi="Times New Roman" w:cs="Times New Roman"/>
        </w:rPr>
        <w:t xml:space="preserve"> Kefford’s </w:t>
      </w:r>
      <w:r w:rsidR="006A1D9A" w:rsidRPr="005E4A3E">
        <w:rPr>
          <w:rFonts w:ascii="Times New Roman" w:hAnsi="Times New Roman" w:cs="Times New Roman"/>
        </w:rPr>
        <w:t>view of</w:t>
      </w:r>
      <w:r w:rsidR="0095519B" w:rsidRPr="005E4A3E">
        <w:rPr>
          <w:rFonts w:ascii="Times New Roman" w:hAnsi="Times New Roman" w:cs="Times New Roman"/>
        </w:rPr>
        <w:t xml:space="preserve"> central area redevelopment</w:t>
      </w:r>
      <w:r w:rsidR="009816AE" w:rsidRPr="005E4A3E">
        <w:rPr>
          <w:rFonts w:ascii="Times New Roman" w:hAnsi="Times New Roman" w:cs="Times New Roman"/>
        </w:rPr>
        <w:t xml:space="preserve"> as a bulwark against deindustrialisation, not least in its reliance on partnersh</w:t>
      </w:r>
      <w:r w:rsidR="00E250F8" w:rsidRPr="005E4A3E">
        <w:rPr>
          <w:rFonts w:ascii="Times New Roman" w:hAnsi="Times New Roman" w:cs="Times New Roman"/>
        </w:rPr>
        <w:t>ips with priv</w:t>
      </w:r>
      <w:r w:rsidR="002E3FDA" w:rsidRPr="005E4A3E">
        <w:rPr>
          <w:rFonts w:ascii="Times New Roman" w:hAnsi="Times New Roman" w:cs="Times New Roman"/>
        </w:rPr>
        <w:t>ate developers.</w:t>
      </w:r>
      <w:r w:rsidR="006B367B">
        <w:rPr>
          <w:rFonts w:ascii="Times New Roman" w:hAnsi="Times New Roman" w:cs="Times New Roman"/>
        </w:rPr>
        <w:t xml:space="preserve"> Deindustrialisation in both these accounts appears as a presiding anxiety in national and local government. Just as Jim Tomlinson </w:t>
      </w:r>
      <w:r w:rsidR="003F782A">
        <w:rPr>
          <w:rFonts w:ascii="Times New Roman" w:hAnsi="Times New Roman" w:cs="Times New Roman"/>
        </w:rPr>
        <w:t>h</w:t>
      </w:r>
      <w:r w:rsidR="006B367B">
        <w:rPr>
          <w:rFonts w:ascii="Times New Roman" w:hAnsi="Times New Roman" w:cs="Times New Roman"/>
        </w:rPr>
        <w:t xml:space="preserve">as suggested that reactions to </w:t>
      </w:r>
      <w:r w:rsidR="003F782A">
        <w:rPr>
          <w:rFonts w:ascii="Times New Roman" w:hAnsi="Times New Roman" w:cs="Times New Roman"/>
        </w:rPr>
        <w:t>deindustrialisation</w:t>
      </w:r>
      <w:r w:rsidR="006B367B">
        <w:rPr>
          <w:rFonts w:ascii="Times New Roman" w:hAnsi="Times New Roman" w:cs="Times New Roman"/>
        </w:rPr>
        <w:t xml:space="preserve"> reshaped the social security system and patterns of public employment, here Kefford and Saumarez Smith show its instrumental role in shaping urban space.</w:t>
      </w:r>
      <w:r w:rsidR="003F782A">
        <w:rPr>
          <w:rStyle w:val="FootnoteReference"/>
          <w:rFonts w:ascii="Times New Roman" w:hAnsi="Times New Roman" w:cs="Times New Roman"/>
        </w:rPr>
        <w:footnoteReference w:id="12"/>
      </w:r>
      <w:r w:rsidR="006B367B">
        <w:rPr>
          <w:rFonts w:ascii="Times New Roman" w:hAnsi="Times New Roman" w:cs="Times New Roman"/>
        </w:rPr>
        <w:t xml:space="preserve"> The central role</w:t>
      </w:r>
      <w:r w:rsidR="00E250F8" w:rsidRPr="005E4A3E">
        <w:rPr>
          <w:rFonts w:ascii="Times New Roman" w:hAnsi="Times New Roman" w:cs="Times New Roman"/>
        </w:rPr>
        <w:t xml:space="preserve"> of private developers </w:t>
      </w:r>
      <w:r w:rsidR="006B367B">
        <w:rPr>
          <w:rFonts w:ascii="Times New Roman" w:hAnsi="Times New Roman" w:cs="Times New Roman"/>
        </w:rPr>
        <w:t>as partners to</w:t>
      </w:r>
      <w:r w:rsidR="00E250F8" w:rsidRPr="005E4A3E">
        <w:rPr>
          <w:rFonts w:ascii="Times New Roman" w:hAnsi="Times New Roman" w:cs="Times New Roman"/>
        </w:rPr>
        <w:t xml:space="preserve"> local government is</w:t>
      </w:r>
      <w:r w:rsidR="006B367B">
        <w:rPr>
          <w:rFonts w:ascii="Times New Roman" w:hAnsi="Times New Roman" w:cs="Times New Roman"/>
        </w:rPr>
        <w:t xml:space="preserve"> also</w:t>
      </w:r>
      <w:r w:rsidR="00E250F8" w:rsidRPr="005E4A3E">
        <w:rPr>
          <w:rFonts w:ascii="Times New Roman" w:hAnsi="Times New Roman" w:cs="Times New Roman"/>
        </w:rPr>
        <w:t xml:space="preserve"> cruc</w:t>
      </w:r>
      <w:r w:rsidR="006B367B">
        <w:rPr>
          <w:rFonts w:ascii="Times New Roman" w:hAnsi="Times New Roman" w:cs="Times New Roman"/>
        </w:rPr>
        <w:t>ial in both these accounts</w:t>
      </w:r>
      <w:r w:rsidR="003F782A">
        <w:rPr>
          <w:rFonts w:ascii="Times New Roman" w:hAnsi="Times New Roman" w:cs="Times New Roman"/>
        </w:rPr>
        <w:t>, yet Kefford in particular shows what a double-edged sword this really was for local government</w:t>
      </w:r>
      <w:r w:rsidR="006B367B">
        <w:rPr>
          <w:rFonts w:ascii="Times New Roman" w:hAnsi="Times New Roman" w:cs="Times New Roman"/>
        </w:rPr>
        <w:t>.</w:t>
      </w:r>
      <w:r w:rsidR="003F782A">
        <w:rPr>
          <w:rFonts w:ascii="Times New Roman" w:hAnsi="Times New Roman" w:cs="Times New Roman"/>
        </w:rPr>
        <w:t xml:space="preserve"> </w:t>
      </w:r>
      <w:r w:rsidR="003F782A" w:rsidRPr="005E4A3E">
        <w:rPr>
          <w:rFonts w:ascii="Times New Roman" w:hAnsi="Times New Roman" w:cs="Times New Roman"/>
        </w:rPr>
        <w:t>What persistently emerges from this study of public and private investment is just how difficult it was for the state to rapidly adapt to changing economic demands from the 1960s onwards and the profoundly negative effect this lack of agility had on populations reliant on newly constructed facilities.</w:t>
      </w:r>
      <w:r w:rsidR="003F782A">
        <w:rPr>
          <w:rFonts w:ascii="Times New Roman" w:hAnsi="Times New Roman" w:cs="Times New Roman"/>
        </w:rPr>
        <w:t xml:space="preserve"> </w:t>
      </w:r>
      <w:r w:rsidR="006B367B">
        <w:rPr>
          <w:rFonts w:ascii="Times New Roman" w:hAnsi="Times New Roman" w:cs="Times New Roman"/>
        </w:rPr>
        <w:t xml:space="preserve">Indeed, </w:t>
      </w:r>
      <w:r w:rsidR="00E250F8" w:rsidRPr="005E4A3E">
        <w:rPr>
          <w:rFonts w:ascii="Times New Roman" w:hAnsi="Times New Roman" w:cs="Times New Roman"/>
        </w:rPr>
        <w:t>both th</w:t>
      </w:r>
      <w:r w:rsidR="006B367B">
        <w:rPr>
          <w:rFonts w:ascii="Times New Roman" w:hAnsi="Times New Roman" w:cs="Times New Roman"/>
        </w:rPr>
        <w:t xml:space="preserve">eses point to the importance of forthcoming work on </w:t>
      </w:r>
      <w:r w:rsidR="002E3FDA" w:rsidRPr="005E4A3E">
        <w:rPr>
          <w:rFonts w:ascii="Times New Roman" w:hAnsi="Times New Roman" w:cs="Times New Roman"/>
        </w:rPr>
        <w:t xml:space="preserve">the </w:t>
      </w:r>
      <w:r w:rsidR="002E3FDA" w:rsidRPr="005E4A3E">
        <w:rPr>
          <w:rFonts w:ascii="Times New Roman" w:hAnsi="Times New Roman" w:cs="Times New Roman"/>
        </w:rPr>
        <w:lastRenderedPageBreak/>
        <w:t>role of commercial development</w:t>
      </w:r>
      <w:r w:rsidR="006B367B">
        <w:rPr>
          <w:rFonts w:ascii="Times New Roman" w:hAnsi="Times New Roman" w:cs="Times New Roman"/>
        </w:rPr>
        <w:t>,</w:t>
      </w:r>
      <w:r w:rsidR="00E250F8" w:rsidRPr="005E4A3E">
        <w:rPr>
          <w:rFonts w:ascii="Times New Roman" w:hAnsi="Times New Roman" w:cs="Times New Roman"/>
        </w:rPr>
        <w:t xml:space="preserve"> </w:t>
      </w:r>
      <w:r w:rsidR="002E3FDA" w:rsidRPr="005E4A3E">
        <w:rPr>
          <w:rFonts w:ascii="Times New Roman" w:hAnsi="Times New Roman" w:cs="Times New Roman"/>
        </w:rPr>
        <w:t>in</w:t>
      </w:r>
      <w:r w:rsidR="003F782A">
        <w:rPr>
          <w:rFonts w:ascii="Times New Roman" w:hAnsi="Times New Roman" w:cs="Times New Roman"/>
        </w:rPr>
        <w:t xml:space="preserve"> understanding how private capital shaped</w:t>
      </w:r>
      <w:r w:rsidR="002E3FDA" w:rsidRPr="005E4A3E">
        <w:rPr>
          <w:rFonts w:ascii="Times New Roman" w:hAnsi="Times New Roman" w:cs="Times New Roman"/>
        </w:rPr>
        <w:t xml:space="preserve"> the built environment and</w:t>
      </w:r>
      <w:r w:rsidR="003F782A">
        <w:rPr>
          <w:rFonts w:ascii="Times New Roman" w:hAnsi="Times New Roman" w:cs="Times New Roman"/>
        </w:rPr>
        <w:t xml:space="preserve"> fuelled</w:t>
      </w:r>
      <w:r w:rsidR="009F12B5" w:rsidRPr="005E4A3E">
        <w:rPr>
          <w:rFonts w:ascii="Times New Roman" w:hAnsi="Times New Roman" w:cs="Times New Roman"/>
        </w:rPr>
        <w:t xml:space="preserve"> the development of the neo-liberal state</w:t>
      </w:r>
      <w:r w:rsidR="00E250F8" w:rsidRPr="005E4A3E">
        <w:rPr>
          <w:rFonts w:ascii="Times New Roman" w:hAnsi="Times New Roman" w:cs="Times New Roman"/>
        </w:rPr>
        <w:t>.</w:t>
      </w:r>
      <w:r w:rsidR="00E250F8" w:rsidRPr="005E4A3E">
        <w:rPr>
          <w:rStyle w:val="FootnoteReference"/>
          <w:rFonts w:ascii="Times New Roman" w:hAnsi="Times New Roman" w:cs="Times New Roman"/>
        </w:rPr>
        <w:footnoteReference w:id="13"/>
      </w:r>
      <w:r w:rsidR="00E250F8" w:rsidRPr="005E4A3E">
        <w:rPr>
          <w:rFonts w:ascii="Times New Roman" w:hAnsi="Times New Roman" w:cs="Times New Roman"/>
        </w:rPr>
        <w:t xml:space="preserve"> </w:t>
      </w:r>
    </w:p>
    <w:p w14:paraId="7ED6168E" w14:textId="168E4FC3" w:rsidR="00B725E0" w:rsidRDefault="003F782A" w:rsidP="00732322">
      <w:pPr>
        <w:spacing w:line="480" w:lineRule="auto"/>
        <w:jc w:val="both"/>
        <w:rPr>
          <w:rFonts w:ascii="Times New Roman" w:hAnsi="Times New Roman" w:cs="Times New Roman"/>
        </w:rPr>
      </w:pPr>
      <w:r>
        <w:rPr>
          <w:rFonts w:ascii="Times New Roman" w:hAnsi="Times New Roman" w:cs="Times New Roman"/>
        </w:rPr>
        <w:tab/>
      </w:r>
      <w:r w:rsidR="00891428" w:rsidRPr="005E4A3E">
        <w:rPr>
          <w:rFonts w:ascii="Times New Roman" w:hAnsi="Times New Roman" w:cs="Times New Roman"/>
        </w:rPr>
        <w:t>Saumarez Smith’s</w:t>
      </w:r>
      <w:r w:rsidR="006A1D9A" w:rsidRPr="005E4A3E">
        <w:rPr>
          <w:rFonts w:ascii="Times New Roman" w:hAnsi="Times New Roman" w:cs="Times New Roman"/>
        </w:rPr>
        <w:t xml:space="preserve"> study is</w:t>
      </w:r>
      <w:r>
        <w:rPr>
          <w:rFonts w:ascii="Times New Roman" w:hAnsi="Times New Roman" w:cs="Times New Roman"/>
        </w:rPr>
        <w:t xml:space="preserve">, </w:t>
      </w:r>
      <w:r w:rsidR="0092582D">
        <w:rPr>
          <w:rFonts w:ascii="Times New Roman" w:hAnsi="Times New Roman" w:cs="Times New Roman"/>
        </w:rPr>
        <w:t>nevertheless</w:t>
      </w:r>
      <w:r>
        <w:rPr>
          <w:rFonts w:ascii="Times New Roman" w:hAnsi="Times New Roman" w:cs="Times New Roman"/>
        </w:rPr>
        <w:t>, very different in its approach to Kefford’s. C</w:t>
      </w:r>
      <w:r w:rsidR="00E162FF" w:rsidRPr="005E4A3E">
        <w:rPr>
          <w:rFonts w:ascii="Times New Roman" w:hAnsi="Times New Roman" w:cs="Times New Roman"/>
        </w:rPr>
        <w:t xml:space="preserve">entred on an examination of the work of individuals he labels </w:t>
      </w:r>
      <w:r w:rsidR="00EF1461" w:rsidRPr="005E4A3E">
        <w:rPr>
          <w:rFonts w:ascii="Times New Roman" w:hAnsi="Times New Roman" w:cs="Times New Roman"/>
        </w:rPr>
        <w:t>‘</w:t>
      </w:r>
      <w:r w:rsidR="00E162FF" w:rsidRPr="005E4A3E">
        <w:rPr>
          <w:rFonts w:ascii="Times New Roman" w:hAnsi="Times New Roman" w:cs="Times New Roman"/>
        </w:rPr>
        <w:t>architect-planners</w:t>
      </w:r>
      <w:r w:rsidR="00EF1461" w:rsidRPr="005E4A3E">
        <w:rPr>
          <w:rFonts w:ascii="Times New Roman" w:hAnsi="Times New Roman" w:cs="Times New Roman"/>
        </w:rPr>
        <w:t>’</w:t>
      </w:r>
      <w:r w:rsidR="009816AE" w:rsidRPr="005E4A3E">
        <w:rPr>
          <w:rFonts w:ascii="Times New Roman" w:hAnsi="Times New Roman" w:cs="Times New Roman"/>
        </w:rPr>
        <w:t xml:space="preserve">, </w:t>
      </w:r>
      <w:r>
        <w:rPr>
          <w:rFonts w:ascii="Times New Roman" w:hAnsi="Times New Roman" w:cs="Times New Roman"/>
        </w:rPr>
        <w:t>the thesis emphasises</w:t>
      </w:r>
      <w:r w:rsidR="00E162FF" w:rsidRPr="005E4A3E">
        <w:rPr>
          <w:rFonts w:ascii="Times New Roman" w:hAnsi="Times New Roman" w:cs="Times New Roman"/>
        </w:rPr>
        <w:t xml:space="preserve"> the way these figures’ </w:t>
      </w:r>
      <w:r w:rsidR="009816AE" w:rsidRPr="005E4A3E">
        <w:rPr>
          <w:rFonts w:ascii="Times New Roman" w:hAnsi="Times New Roman" w:cs="Times New Roman"/>
        </w:rPr>
        <w:t>designs</w:t>
      </w:r>
      <w:r w:rsidR="00E162FF" w:rsidRPr="005E4A3E">
        <w:rPr>
          <w:rFonts w:ascii="Times New Roman" w:hAnsi="Times New Roman" w:cs="Times New Roman"/>
        </w:rPr>
        <w:t xml:space="preserve"> and ambitions were </w:t>
      </w:r>
      <w:r w:rsidR="009816AE" w:rsidRPr="005E4A3E">
        <w:rPr>
          <w:rFonts w:ascii="Times New Roman" w:hAnsi="Times New Roman" w:cs="Times New Roman"/>
        </w:rPr>
        <w:t>enmeshed</w:t>
      </w:r>
      <w:r w:rsidR="00E162FF" w:rsidRPr="005E4A3E">
        <w:rPr>
          <w:rFonts w:ascii="Times New Roman" w:hAnsi="Times New Roman" w:cs="Times New Roman"/>
        </w:rPr>
        <w:t xml:space="preserve"> within and shaped by </w:t>
      </w:r>
      <w:r w:rsidR="00EF1461" w:rsidRPr="005E4A3E">
        <w:rPr>
          <w:rFonts w:ascii="Times New Roman" w:hAnsi="Times New Roman" w:cs="Times New Roman"/>
        </w:rPr>
        <w:t xml:space="preserve">local and national </w:t>
      </w:r>
      <w:r w:rsidR="00E162FF" w:rsidRPr="005E4A3E">
        <w:rPr>
          <w:rFonts w:ascii="Times New Roman" w:hAnsi="Times New Roman" w:cs="Times New Roman"/>
        </w:rPr>
        <w:t>political culture</w:t>
      </w:r>
      <w:r w:rsidR="009F12B5" w:rsidRPr="005E4A3E">
        <w:rPr>
          <w:rFonts w:ascii="Times New Roman" w:hAnsi="Times New Roman" w:cs="Times New Roman"/>
        </w:rPr>
        <w:t>s a</w:t>
      </w:r>
      <w:r w:rsidR="00EF1461" w:rsidRPr="005E4A3E">
        <w:rPr>
          <w:rFonts w:ascii="Times New Roman" w:hAnsi="Times New Roman" w:cs="Times New Roman"/>
        </w:rPr>
        <w:t xml:space="preserve">longside </w:t>
      </w:r>
      <w:r w:rsidR="009F12B5" w:rsidRPr="005E4A3E">
        <w:rPr>
          <w:rFonts w:ascii="Times New Roman" w:hAnsi="Times New Roman" w:cs="Times New Roman"/>
        </w:rPr>
        <w:t xml:space="preserve">the </w:t>
      </w:r>
      <w:r w:rsidR="009816AE" w:rsidRPr="005E4A3E">
        <w:rPr>
          <w:rFonts w:ascii="Times New Roman" w:hAnsi="Times New Roman" w:cs="Times New Roman"/>
        </w:rPr>
        <w:t>varied, often</w:t>
      </w:r>
      <w:r w:rsidR="00E162FF" w:rsidRPr="005E4A3E">
        <w:rPr>
          <w:rFonts w:ascii="Times New Roman" w:hAnsi="Times New Roman" w:cs="Times New Roman"/>
        </w:rPr>
        <w:t xml:space="preserve"> pragmatic</w:t>
      </w:r>
      <w:r w:rsidR="009F12B5" w:rsidRPr="005E4A3E">
        <w:rPr>
          <w:rFonts w:ascii="Times New Roman" w:hAnsi="Times New Roman" w:cs="Times New Roman"/>
        </w:rPr>
        <w:t xml:space="preserve"> concerns of</w:t>
      </w:r>
      <w:r w:rsidR="00E162FF" w:rsidRPr="005E4A3E">
        <w:rPr>
          <w:rFonts w:ascii="Times New Roman" w:hAnsi="Times New Roman" w:cs="Times New Roman"/>
        </w:rPr>
        <w:t xml:space="preserve"> different branches of the state. </w:t>
      </w:r>
      <w:r w:rsidR="0003060E" w:rsidRPr="005E4A3E">
        <w:rPr>
          <w:rFonts w:ascii="Times New Roman" w:hAnsi="Times New Roman" w:cs="Times New Roman"/>
        </w:rPr>
        <w:t xml:space="preserve">Despite </w:t>
      </w:r>
      <w:r w:rsidR="006A1D9A" w:rsidRPr="005E4A3E">
        <w:rPr>
          <w:rFonts w:ascii="Times New Roman" w:hAnsi="Times New Roman" w:cs="Times New Roman"/>
        </w:rPr>
        <w:t>this familiar disciplinary approach</w:t>
      </w:r>
      <w:r w:rsidR="0003060E" w:rsidRPr="005E4A3E">
        <w:rPr>
          <w:rFonts w:ascii="Times New Roman" w:hAnsi="Times New Roman" w:cs="Times New Roman"/>
        </w:rPr>
        <w:t xml:space="preserve"> though</w:t>
      </w:r>
      <w:r w:rsidR="009816AE" w:rsidRPr="005E4A3E">
        <w:rPr>
          <w:rFonts w:ascii="Times New Roman" w:hAnsi="Times New Roman" w:cs="Times New Roman"/>
        </w:rPr>
        <w:t>,</w:t>
      </w:r>
      <w:r w:rsidR="0003060E" w:rsidRPr="005E4A3E">
        <w:rPr>
          <w:rFonts w:ascii="Times New Roman" w:hAnsi="Times New Roman" w:cs="Times New Roman"/>
        </w:rPr>
        <w:t xml:space="preserve"> this is not</w:t>
      </w:r>
      <w:r w:rsidR="00E162FF" w:rsidRPr="005E4A3E">
        <w:rPr>
          <w:rFonts w:ascii="Times New Roman" w:hAnsi="Times New Roman" w:cs="Times New Roman"/>
        </w:rPr>
        <w:t xml:space="preserve"> an architectural </w:t>
      </w:r>
      <w:r w:rsidR="009816AE" w:rsidRPr="005E4A3E">
        <w:rPr>
          <w:rFonts w:ascii="Times New Roman" w:hAnsi="Times New Roman" w:cs="Times New Roman"/>
        </w:rPr>
        <w:t xml:space="preserve">history that falls into the trap of </w:t>
      </w:r>
      <w:r w:rsidR="0003060E" w:rsidRPr="005E4A3E">
        <w:rPr>
          <w:rFonts w:ascii="Times New Roman" w:hAnsi="Times New Roman" w:cs="Times New Roman"/>
        </w:rPr>
        <w:t xml:space="preserve">simply </w:t>
      </w:r>
      <w:r w:rsidR="009816AE" w:rsidRPr="005E4A3E">
        <w:rPr>
          <w:rFonts w:ascii="Times New Roman" w:hAnsi="Times New Roman" w:cs="Times New Roman"/>
        </w:rPr>
        <w:t>endorsing or repudiating</w:t>
      </w:r>
      <w:r w:rsidR="00E162FF" w:rsidRPr="005E4A3E">
        <w:rPr>
          <w:rFonts w:ascii="Times New Roman" w:hAnsi="Times New Roman" w:cs="Times New Roman"/>
        </w:rPr>
        <w:t xml:space="preserve"> the clichéd</w:t>
      </w:r>
      <w:r w:rsidR="009816AE" w:rsidRPr="005E4A3E">
        <w:rPr>
          <w:rFonts w:ascii="Times New Roman" w:hAnsi="Times New Roman" w:cs="Times New Roman"/>
        </w:rPr>
        <w:t xml:space="preserve"> notion of the m</w:t>
      </w:r>
      <w:r w:rsidR="00E162FF" w:rsidRPr="005E4A3E">
        <w:rPr>
          <w:rFonts w:ascii="Times New Roman" w:hAnsi="Times New Roman" w:cs="Times New Roman"/>
        </w:rPr>
        <w:t xml:space="preserve">odernist planner as </w:t>
      </w:r>
      <w:r w:rsidR="009833C3" w:rsidRPr="005E4A3E">
        <w:rPr>
          <w:rFonts w:ascii="Times New Roman" w:hAnsi="Times New Roman" w:cs="Times New Roman"/>
        </w:rPr>
        <w:t xml:space="preserve">a </w:t>
      </w:r>
      <w:r w:rsidR="00E162FF" w:rsidRPr="005E4A3E">
        <w:rPr>
          <w:rFonts w:ascii="Times New Roman" w:hAnsi="Times New Roman" w:cs="Times New Roman"/>
        </w:rPr>
        <w:t>megalomaniac</w:t>
      </w:r>
      <w:r w:rsidR="009833C3" w:rsidRPr="005E4A3E">
        <w:rPr>
          <w:rFonts w:ascii="Times New Roman" w:hAnsi="Times New Roman" w:cs="Times New Roman"/>
        </w:rPr>
        <w:t xml:space="preserve"> despoiler of British towns and cities</w:t>
      </w:r>
      <w:r w:rsidR="009816AE" w:rsidRPr="005E4A3E">
        <w:rPr>
          <w:rFonts w:ascii="Times New Roman" w:hAnsi="Times New Roman" w:cs="Times New Roman"/>
        </w:rPr>
        <w:t>.</w:t>
      </w:r>
      <w:r>
        <w:rPr>
          <w:rFonts w:ascii="Times New Roman" w:hAnsi="Times New Roman" w:cs="Times New Roman"/>
        </w:rPr>
        <w:t xml:space="preserve"> Nor is it satisfied with </w:t>
      </w:r>
      <w:r w:rsidR="0092582D">
        <w:rPr>
          <w:rFonts w:ascii="Times New Roman" w:hAnsi="Times New Roman" w:cs="Times New Roman"/>
        </w:rPr>
        <w:t xml:space="preserve">merely </w:t>
      </w:r>
      <w:r>
        <w:rPr>
          <w:rFonts w:ascii="Times New Roman" w:hAnsi="Times New Roman" w:cs="Times New Roman"/>
        </w:rPr>
        <w:t xml:space="preserve">investigating these fascinating figures – of whom Saumarez Smith seems to have assembled an </w:t>
      </w:r>
      <w:r w:rsidR="0092582D">
        <w:rPr>
          <w:rFonts w:ascii="Times New Roman" w:hAnsi="Times New Roman" w:cs="Times New Roman"/>
        </w:rPr>
        <w:t>encyclopaedic</w:t>
      </w:r>
      <w:r>
        <w:rPr>
          <w:rFonts w:ascii="Times New Roman" w:hAnsi="Times New Roman" w:cs="Times New Roman"/>
        </w:rPr>
        <w:t xml:space="preserve"> knowledge –</w:t>
      </w:r>
      <w:r w:rsidR="009816AE" w:rsidRPr="005E4A3E">
        <w:rPr>
          <w:rFonts w:ascii="Times New Roman" w:hAnsi="Times New Roman" w:cs="Times New Roman"/>
        </w:rPr>
        <w:t xml:space="preserve"> </w:t>
      </w:r>
      <w:r w:rsidR="0092582D">
        <w:rPr>
          <w:rFonts w:ascii="Times New Roman" w:hAnsi="Times New Roman" w:cs="Times New Roman"/>
        </w:rPr>
        <w:t xml:space="preserve">for the sake of biography. </w:t>
      </w:r>
      <w:r w:rsidR="009816AE" w:rsidRPr="005E4A3E">
        <w:rPr>
          <w:rFonts w:ascii="Times New Roman" w:hAnsi="Times New Roman" w:cs="Times New Roman"/>
        </w:rPr>
        <w:t>Instead, it</w:t>
      </w:r>
      <w:r w:rsidR="00E162FF" w:rsidRPr="005E4A3E">
        <w:rPr>
          <w:rFonts w:ascii="Times New Roman" w:hAnsi="Times New Roman" w:cs="Times New Roman"/>
        </w:rPr>
        <w:t xml:space="preserve"> shows how architect</w:t>
      </w:r>
      <w:r w:rsidR="009816AE" w:rsidRPr="005E4A3E">
        <w:rPr>
          <w:rFonts w:ascii="Times New Roman" w:hAnsi="Times New Roman" w:cs="Times New Roman"/>
        </w:rPr>
        <w:t>ural m</w:t>
      </w:r>
      <w:r w:rsidR="00E162FF" w:rsidRPr="005E4A3E">
        <w:rPr>
          <w:rFonts w:ascii="Times New Roman" w:hAnsi="Times New Roman" w:cs="Times New Roman"/>
        </w:rPr>
        <w:t>odernism</w:t>
      </w:r>
      <w:r w:rsidR="009833C3" w:rsidRPr="005E4A3E">
        <w:rPr>
          <w:rFonts w:ascii="Times New Roman" w:hAnsi="Times New Roman" w:cs="Times New Roman"/>
        </w:rPr>
        <w:t xml:space="preserve"> and its advocates</w:t>
      </w:r>
      <w:r w:rsidR="00E162FF" w:rsidRPr="005E4A3E">
        <w:rPr>
          <w:rFonts w:ascii="Times New Roman" w:hAnsi="Times New Roman" w:cs="Times New Roman"/>
        </w:rPr>
        <w:t xml:space="preserve"> fitted into a constellation of competing </w:t>
      </w:r>
      <w:r w:rsidR="00EF1461" w:rsidRPr="005E4A3E">
        <w:rPr>
          <w:rFonts w:ascii="Times New Roman" w:hAnsi="Times New Roman" w:cs="Times New Roman"/>
        </w:rPr>
        <w:t xml:space="preserve">political </w:t>
      </w:r>
      <w:r w:rsidR="00E162FF" w:rsidRPr="005E4A3E">
        <w:rPr>
          <w:rFonts w:ascii="Times New Roman" w:hAnsi="Times New Roman" w:cs="Times New Roman"/>
        </w:rPr>
        <w:t>concerns in the early-to-mid 1960s.</w:t>
      </w:r>
      <w:r w:rsidR="009816AE" w:rsidRPr="005E4A3E">
        <w:rPr>
          <w:rFonts w:ascii="Times New Roman" w:hAnsi="Times New Roman" w:cs="Times New Roman"/>
        </w:rPr>
        <w:t xml:space="preserve"> That m</w:t>
      </w:r>
      <w:r w:rsidR="00E162FF" w:rsidRPr="005E4A3E">
        <w:rPr>
          <w:rFonts w:ascii="Times New Roman" w:hAnsi="Times New Roman" w:cs="Times New Roman"/>
        </w:rPr>
        <w:t>odernism</w:t>
      </w:r>
      <w:r w:rsidR="009816AE" w:rsidRPr="005E4A3E">
        <w:rPr>
          <w:rFonts w:ascii="Times New Roman" w:hAnsi="Times New Roman" w:cs="Times New Roman"/>
        </w:rPr>
        <w:t>, at least in popular memory,</w:t>
      </w:r>
      <w:r w:rsidR="00E162FF" w:rsidRPr="005E4A3E">
        <w:rPr>
          <w:rFonts w:ascii="Times New Roman" w:hAnsi="Times New Roman" w:cs="Times New Roman"/>
        </w:rPr>
        <w:t xml:space="preserve"> seemed to triumph, </w:t>
      </w:r>
      <w:r w:rsidR="0092582D">
        <w:rPr>
          <w:rFonts w:ascii="Times New Roman" w:hAnsi="Times New Roman" w:cs="Times New Roman"/>
        </w:rPr>
        <w:t>appears here to be</w:t>
      </w:r>
      <w:r w:rsidR="00E162FF" w:rsidRPr="005E4A3E">
        <w:rPr>
          <w:rFonts w:ascii="Times New Roman" w:hAnsi="Times New Roman" w:cs="Times New Roman"/>
        </w:rPr>
        <w:t xml:space="preserve"> less about the dominance of an architectural ideology</w:t>
      </w:r>
      <w:r w:rsidR="0092582D">
        <w:rPr>
          <w:rFonts w:ascii="Times New Roman" w:hAnsi="Times New Roman" w:cs="Times New Roman"/>
        </w:rPr>
        <w:t xml:space="preserve"> </w:t>
      </w:r>
      <w:r w:rsidR="0092582D" w:rsidRPr="0092582D">
        <w:rPr>
          <w:rFonts w:ascii="Times New Roman" w:hAnsi="Times New Roman" w:cs="Times New Roman"/>
          <w:i/>
        </w:rPr>
        <w:t>per se</w:t>
      </w:r>
      <w:r w:rsidR="00214743" w:rsidRPr="005E4A3E">
        <w:rPr>
          <w:rFonts w:ascii="Times New Roman" w:hAnsi="Times New Roman" w:cs="Times New Roman"/>
        </w:rPr>
        <w:t xml:space="preserve"> </w:t>
      </w:r>
      <w:r w:rsidR="00E162FF" w:rsidRPr="005E4A3E">
        <w:rPr>
          <w:rFonts w:ascii="Times New Roman" w:hAnsi="Times New Roman" w:cs="Times New Roman"/>
        </w:rPr>
        <w:t>and</w:t>
      </w:r>
      <w:r w:rsidR="009833C3" w:rsidRPr="005E4A3E">
        <w:rPr>
          <w:rFonts w:ascii="Times New Roman" w:hAnsi="Times New Roman" w:cs="Times New Roman"/>
        </w:rPr>
        <w:t xml:space="preserve"> more about the way </w:t>
      </w:r>
      <w:r w:rsidR="00214743" w:rsidRPr="005E4A3E">
        <w:rPr>
          <w:rFonts w:ascii="Times New Roman" w:hAnsi="Times New Roman" w:cs="Times New Roman"/>
        </w:rPr>
        <w:t xml:space="preserve">a selection of </w:t>
      </w:r>
      <w:r w:rsidR="009833C3" w:rsidRPr="005E4A3E">
        <w:rPr>
          <w:rFonts w:ascii="Times New Roman" w:hAnsi="Times New Roman" w:cs="Times New Roman"/>
        </w:rPr>
        <w:t xml:space="preserve">modernist principles </w:t>
      </w:r>
      <w:r w:rsidR="00214743" w:rsidRPr="005E4A3E">
        <w:rPr>
          <w:rFonts w:ascii="Times New Roman" w:hAnsi="Times New Roman" w:cs="Times New Roman"/>
        </w:rPr>
        <w:t xml:space="preserve">suited the motives of </w:t>
      </w:r>
      <w:r w:rsidR="009833C3" w:rsidRPr="005E4A3E">
        <w:rPr>
          <w:rFonts w:ascii="Times New Roman" w:hAnsi="Times New Roman" w:cs="Times New Roman"/>
        </w:rPr>
        <w:t>certain influential groups at different levels of both the state and private sector.</w:t>
      </w:r>
      <w:r w:rsidR="006A1D9A" w:rsidRPr="005E4A3E">
        <w:rPr>
          <w:rFonts w:ascii="Times New Roman" w:hAnsi="Times New Roman" w:cs="Times New Roman"/>
        </w:rPr>
        <w:t xml:space="preserve"> In showing that those advocates of modernism were a ‘motley cast of architects and planners, one-nation Tories, Labourite expansionists’, councillors, developers and civil servants, the thesis complicates explanations that have too readily assigned </w:t>
      </w:r>
      <w:r w:rsidR="00214743" w:rsidRPr="005E4A3E">
        <w:rPr>
          <w:rFonts w:ascii="Times New Roman" w:hAnsi="Times New Roman" w:cs="Times New Roman"/>
        </w:rPr>
        <w:t>city centre redevelopment to an all-powerful, yet</w:t>
      </w:r>
      <w:r w:rsidR="006A1D9A" w:rsidRPr="005E4A3E">
        <w:rPr>
          <w:rFonts w:ascii="Times New Roman" w:hAnsi="Times New Roman" w:cs="Times New Roman"/>
        </w:rPr>
        <w:t xml:space="preserve"> nebulous culture of modernism</w:t>
      </w:r>
      <w:r w:rsidR="00EF1461" w:rsidRPr="005E4A3E">
        <w:rPr>
          <w:rFonts w:ascii="Times New Roman" w:hAnsi="Times New Roman" w:cs="Times New Roman"/>
        </w:rPr>
        <w:t>.</w:t>
      </w:r>
      <w:r w:rsidR="00EF1461" w:rsidRPr="005E4A3E">
        <w:rPr>
          <w:rStyle w:val="FootnoteReference"/>
          <w:rFonts w:ascii="Times New Roman" w:hAnsi="Times New Roman" w:cs="Times New Roman"/>
        </w:rPr>
        <w:footnoteReference w:id="14"/>
      </w:r>
      <w:r w:rsidR="00EF1461" w:rsidRPr="005E4A3E">
        <w:rPr>
          <w:rFonts w:ascii="Times New Roman" w:hAnsi="Times New Roman" w:cs="Times New Roman"/>
        </w:rPr>
        <w:t xml:space="preserve"> Both Saumarez Smith and Kefford show us that though there were a multiplicity of differing local circumstances, when it came to redevelopment, the </w:t>
      </w:r>
      <w:r w:rsidR="00A42F4C" w:rsidRPr="005E4A3E">
        <w:rPr>
          <w:rFonts w:ascii="Times New Roman" w:hAnsi="Times New Roman" w:cs="Times New Roman"/>
        </w:rPr>
        <w:t xml:space="preserve">guiding principle was perhaps not modernism </w:t>
      </w:r>
      <w:r w:rsidR="00A42F4C" w:rsidRPr="005E4A3E">
        <w:rPr>
          <w:rFonts w:ascii="Times New Roman" w:hAnsi="Times New Roman" w:cs="Times New Roman"/>
          <w:i/>
        </w:rPr>
        <w:t>per se</w:t>
      </w:r>
      <w:r w:rsidR="00A42F4C" w:rsidRPr="005E4A3E">
        <w:rPr>
          <w:rFonts w:ascii="Times New Roman" w:hAnsi="Times New Roman" w:cs="Times New Roman"/>
        </w:rPr>
        <w:t xml:space="preserve">, but more a general faith that large-scale, holistic </w:t>
      </w:r>
      <w:r w:rsidR="00A42F4C" w:rsidRPr="005E4A3E">
        <w:rPr>
          <w:rFonts w:ascii="Times New Roman" w:hAnsi="Times New Roman" w:cs="Times New Roman"/>
        </w:rPr>
        <w:lastRenderedPageBreak/>
        <w:t xml:space="preserve">spatial intervention was both effective and simply needed to be ‘got right’ to tackle the socio-economic issues of the period. As these two studies show, the </w:t>
      </w:r>
      <w:r w:rsidR="00EB7154" w:rsidRPr="005E4A3E">
        <w:rPr>
          <w:rFonts w:ascii="Times New Roman" w:hAnsi="Times New Roman" w:cs="Times New Roman"/>
        </w:rPr>
        <w:t>overweening</w:t>
      </w:r>
      <w:r w:rsidR="00A42F4C" w:rsidRPr="005E4A3E">
        <w:rPr>
          <w:rFonts w:ascii="Times New Roman" w:hAnsi="Times New Roman" w:cs="Times New Roman"/>
        </w:rPr>
        <w:t xml:space="preserve"> pressures that </w:t>
      </w:r>
      <w:r w:rsidR="00EB7154" w:rsidRPr="005E4A3E">
        <w:rPr>
          <w:rFonts w:ascii="Times New Roman" w:hAnsi="Times New Roman" w:cs="Times New Roman"/>
        </w:rPr>
        <w:t xml:space="preserve">local councils and corporations faced were how to mitigate the worst </w:t>
      </w:r>
      <w:r w:rsidR="0092582D">
        <w:rPr>
          <w:rFonts w:ascii="Times New Roman" w:hAnsi="Times New Roman" w:cs="Times New Roman"/>
        </w:rPr>
        <w:t xml:space="preserve">excesses of deindustrialisation. </w:t>
      </w:r>
      <w:r w:rsidR="000A04C2">
        <w:rPr>
          <w:rFonts w:ascii="Times New Roman" w:hAnsi="Times New Roman" w:cs="Times New Roman"/>
        </w:rPr>
        <w:t>T</w:t>
      </w:r>
      <w:r w:rsidR="0092582D">
        <w:rPr>
          <w:rFonts w:ascii="Times New Roman" w:hAnsi="Times New Roman" w:cs="Times New Roman"/>
        </w:rPr>
        <w:t>his was</w:t>
      </w:r>
      <w:r w:rsidR="00EB7154" w:rsidRPr="005E4A3E">
        <w:rPr>
          <w:rFonts w:ascii="Times New Roman" w:hAnsi="Times New Roman" w:cs="Times New Roman"/>
        </w:rPr>
        <w:t xml:space="preserve"> a process </w:t>
      </w:r>
      <w:r w:rsidR="0092582D">
        <w:rPr>
          <w:rFonts w:ascii="Times New Roman" w:hAnsi="Times New Roman" w:cs="Times New Roman"/>
        </w:rPr>
        <w:t>local authorities</w:t>
      </w:r>
      <w:r w:rsidR="00EB7154" w:rsidRPr="005E4A3E">
        <w:rPr>
          <w:rFonts w:ascii="Times New Roman" w:hAnsi="Times New Roman" w:cs="Times New Roman"/>
        </w:rPr>
        <w:t xml:space="preserve"> primarily understood as </w:t>
      </w:r>
      <w:r w:rsidR="00214743" w:rsidRPr="005E4A3E">
        <w:rPr>
          <w:rFonts w:ascii="Times New Roman" w:hAnsi="Times New Roman" w:cs="Times New Roman"/>
        </w:rPr>
        <w:t xml:space="preserve">achievable </w:t>
      </w:r>
      <w:r w:rsidR="00EB7154" w:rsidRPr="005E4A3E">
        <w:rPr>
          <w:rFonts w:ascii="Times New Roman" w:hAnsi="Times New Roman" w:cs="Times New Roman"/>
        </w:rPr>
        <w:t>through the revitalisation of retail</w:t>
      </w:r>
      <w:r w:rsidR="0092582D">
        <w:rPr>
          <w:rFonts w:ascii="Times New Roman" w:hAnsi="Times New Roman" w:cs="Times New Roman"/>
        </w:rPr>
        <w:t xml:space="preserve"> and the broader service sector, which might be achieved through the programming of the built environment to account for </w:t>
      </w:r>
      <w:r w:rsidR="00460E47">
        <w:rPr>
          <w:rFonts w:ascii="Times New Roman" w:hAnsi="Times New Roman" w:cs="Times New Roman"/>
        </w:rPr>
        <w:t xml:space="preserve">the </w:t>
      </w:r>
      <w:r w:rsidR="0092582D">
        <w:rPr>
          <w:rFonts w:ascii="Times New Roman" w:hAnsi="Times New Roman" w:cs="Times New Roman"/>
        </w:rPr>
        <w:t xml:space="preserve">perceived emergence of increasingly affluent consumers. </w:t>
      </w:r>
    </w:p>
    <w:p w14:paraId="5B113D1B" w14:textId="24570F01" w:rsidR="00C64E09" w:rsidRPr="005E4A3E" w:rsidRDefault="00C64E09" w:rsidP="00732322">
      <w:pPr>
        <w:spacing w:line="480" w:lineRule="auto"/>
        <w:jc w:val="both"/>
        <w:rPr>
          <w:rFonts w:ascii="Times New Roman" w:hAnsi="Times New Roman" w:cs="Times New Roman"/>
        </w:rPr>
      </w:pPr>
      <w:r>
        <w:rPr>
          <w:rFonts w:ascii="Times New Roman" w:hAnsi="Times New Roman" w:cs="Times New Roman"/>
        </w:rPr>
        <w:tab/>
      </w:r>
      <w:r w:rsidR="0001279D">
        <w:rPr>
          <w:rFonts w:ascii="Times New Roman" w:hAnsi="Times New Roman" w:cs="Times New Roman"/>
        </w:rPr>
        <w:t>The fragility of the</w:t>
      </w:r>
      <w:r w:rsidR="00553A20">
        <w:rPr>
          <w:rFonts w:ascii="Times New Roman" w:hAnsi="Times New Roman" w:cs="Times New Roman"/>
        </w:rPr>
        <w:t xml:space="preserve"> types of</w:t>
      </w:r>
      <w:r w:rsidR="0001279D">
        <w:rPr>
          <w:rFonts w:ascii="Times New Roman" w:hAnsi="Times New Roman" w:cs="Times New Roman"/>
        </w:rPr>
        <w:t xml:space="preserve"> socio-economic assumptions that</w:t>
      </w:r>
      <w:r w:rsidR="00553A20">
        <w:rPr>
          <w:rFonts w:ascii="Times New Roman" w:hAnsi="Times New Roman" w:cs="Times New Roman"/>
        </w:rPr>
        <w:t xml:space="preserve"> Kefford and Saumarez Smith show</w:t>
      </w:r>
      <w:r w:rsidR="0001279D">
        <w:rPr>
          <w:rFonts w:ascii="Times New Roman" w:hAnsi="Times New Roman" w:cs="Times New Roman"/>
        </w:rPr>
        <w:t xml:space="preserve"> underpinned </w:t>
      </w:r>
      <w:r w:rsidR="00553A20">
        <w:rPr>
          <w:rFonts w:ascii="Times New Roman" w:hAnsi="Times New Roman" w:cs="Times New Roman"/>
        </w:rPr>
        <w:t xml:space="preserve">post-war </w:t>
      </w:r>
      <w:r w:rsidR="0001279D">
        <w:rPr>
          <w:rFonts w:ascii="Times New Roman" w:hAnsi="Times New Roman" w:cs="Times New Roman"/>
        </w:rPr>
        <w:t xml:space="preserve">planning </w:t>
      </w:r>
      <w:r w:rsidR="00553F47">
        <w:rPr>
          <w:rFonts w:ascii="Times New Roman" w:hAnsi="Times New Roman" w:cs="Times New Roman"/>
        </w:rPr>
        <w:t xml:space="preserve">schemes </w:t>
      </w:r>
      <w:r w:rsidR="00553A20">
        <w:rPr>
          <w:rFonts w:ascii="Times New Roman" w:hAnsi="Times New Roman" w:cs="Times New Roman"/>
        </w:rPr>
        <w:t>has</w:t>
      </w:r>
      <w:r w:rsidR="0001279D">
        <w:rPr>
          <w:rFonts w:ascii="Times New Roman" w:hAnsi="Times New Roman" w:cs="Times New Roman"/>
        </w:rPr>
        <w:t xml:space="preserve"> perhaps</w:t>
      </w:r>
      <w:r w:rsidR="00553A20">
        <w:rPr>
          <w:rFonts w:ascii="Times New Roman" w:hAnsi="Times New Roman" w:cs="Times New Roman"/>
        </w:rPr>
        <w:t xml:space="preserve"> been</w:t>
      </w:r>
      <w:r w:rsidR="0001279D">
        <w:rPr>
          <w:rFonts w:ascii="Times New Roman" w:hAnsi="Times New Roman" w:cs="Times New Roman"/>
        </w:rPr>
        <w:t xml:space="preserve"> no-</w:t>
      </w:r>
      <w:r>
        <w:rPr>
          <w:rFonts w:ascii="Times New Roman" w:hAnsi="Times New Roman" w:cs="Times New Roman"/>
        </w:rPr>
        <w:t>more visible than in th</w:t>
      </w:r>
      <w:r w:rsidR="0001279D">
        <w:rPr>
          <w:rFonts w:ascii="Times New Roman" w:hAnsi="Times New Roman" w:cs="Times New Roman"/>
        </w:rPr>
        <w:t>e study of the New Towns project.</w:t>
      </w:r>
      <w:r w:rsidR="00553F47">
        <w:rPr>
          <w:rStyle w:val="FootnoteReference"/>
          <w:rFonts w:ascii="Times New Roman" w:hAnsi="Times New Roman" w:cs="Times New Roman"/>
        </w:rPr>
        <w:footnoteReference w:id="15"/>
      </w:r>
      <w:r w:rsidR="000A703C">
        <w:rPr>
          <w:rFonts w:ascii="Times New Roman" w:hAnsi="Times New Roman" w:cs="Times New Roman"/>
        </w:rPr>
        <w:t xml:space="preserve"> </w:t>
      </w:r>
      <w:r>
        <w:rPr>
          <w:rFonts w:ascii="Times New Roman" w:hAnsi="Times New Roman" w:cs="Times New Roman"/>
        </w:rPr>
        <w:t>Helena Rivera’s 2015 thesis</w:t>
      </w:r>
      <w:r w:rsidR="00975AC3">
        <w:rPr>
          <w:rFonts w:ascii="Times New Roman" w:hAnsi="Times New Roman" w:cs="Times New Roman"/>
        </w:rPr>
        <w:t>, though chiefly concerned with the lessons contemporary town planners can learn from case studies of the new towns of Hemel Hempstead and Harlow, neatly shows the difficulties planners</w:t>
      </w:r>
      <w:r w:rsidR="00260BC9">
        <w:rPr>
          <w:rFonts w:ascii="Times New Roman" w:hAnsi="Times New Roman" w:cs="Times New Roman"/>
        </w:rPr>
        <w:t xml:space="preserve"> encountered when trying to produce functioning communities from scratch</w:t>
      </w:r>
      <w:r w:rsidR="00975AC3">
        <w:rPr>
          <w:rFonts w:ascii="Times New Roman" w:hAnsi="Times New Roman" w:cs="Times New Roman"/>
        </w:rPr>
        <w:t>.</w:t>
      </w:r>
      <w:r w:rsidR="00975AC3">
        <w:rPr>
          <w:rStyle w:val="FootnoteReference"/>
          <w:rFonts w:ascii="Times New Roman" w:hAnsi="Times New Roman" w:cs="Times New Roman"/>
        </w:rPr>
        <w:footnoteReference w:id="16"/>
      </w:r>
      <w:r w:rsidR="00975AC3">
        <w:rPr>
          <w:rFonts w:ascii="Times New Roman" w:hAnsi="Times New Roman" w:cs="Times New Roman"/>
        </w:rPr>
        <w:t xml:space="preserve"> Studying the assumptions central to the provisi</w:t>
      </w:r>
      <w:r w:rsidR="00260BC9">
        <w:rPr>
          <w:rFonts w:ascii="Times New Roman" w:hAnsi="Times New Roman" w:cs="Times New Roman"/>
        </w:rPr>
        <w:t>on of housing in the New Towns</w:t>
      </w:r>
      <w:r w:rsidR="00DD41F1">
        <w:rPr>
          <w:rFonts w:ascii="Times New Roman" w:hAnsi="Times New Roman" w:cs="Times New Roman"/>
        </w:rPr>
        <w:t>, Rivera shows that</w:t>
      </w:r>
      <w:r w:rsidR="00260BC9">
        <w:rPr>
          <w:rFonts w:ascii="Times New Roman" w:hAnsi="Times New Roman" w:cs="Times New Roman"/>
        </w:rPr>
        <w:t>, as a consequence of deindustrialisation</w:t>
      </w:r>
      <w:r w:rsidR="006F66BC">
        <w:rPr>
          <w:rFonts w:ascii="Times New Roman" w:hAnsi="Times New Roman" w:cs="Times New Roman"/>
        </w:rPr>
        <w:t xml:space="preserve"> and changing demands for skilled workers, new forms of</w:t>
      </w:r>
      <w:r w:rsidR="00260BC9">
        <w:rPr>
          <w:rFonts w:ascii="Times New Roman" w:hAnsi="Times New Roman" w:cs="Times New Roman"/>
        </w:rPr>
        <w:t xml:space="preserve"> employment destabilized the socio-spatial dynamics of identity formation and place attachment that planners had predicted would form the bedrock of the New Towns’ community life. In Harlow and Hemel Hempstead planners had assumed that employment, based on local industry would be self-contained within the new towns themselves, recognising that residents</w:t>
      </w:r>
      <w:r w:rsidR="00B07844">
        <w:rPr>
          <w:rFonts w:ascii="Times New Roman" w:hAnsi="Times New Roman" w:cs="Times New Roman"/>
        </w:rPr>
        <w:t>’</w:t>
      </w:r>
      <w:r w:rsidR="00260BC9">
        <w:rPr>
          <w:rFonts w:ascii="Times New Roman" w:hAnsi="Times New Roman" w:cs="Times New Roman"/>
        </w:rPr>
        <w:t xml:space="preserve"> </w:t>
      </w:r>
      <w:r w:rsidR="00B07844">
        <w:rPr>
          <w:rFonts w:ascii="Times New Roman" w:hAnsi="Times New Roman" w:cs="Times New Roman"/>
        </w:rPr>
        <w:t>attachment to their new home town would be</w:t>
      </w:r>
      <w:r w:rsidR="00260BC9">
        <w:rPr>
          <w:rFonts w:ascii="Times New Roman" w:hAnsi="Times New Roman" w:cs="Times New Roman"/>
        </w:rPr>
        <w:t xml:space="preserve"> constructed through their employe</w:t>
      </w:r>
      <w:r w:rsidR="00B07844">
        <w:rPr>
          <w:rFonts w:ascii="Times New Roman" w:hAnsi="Times New Roman" w:cs="Times New Roman"/>
        </w:rPr>
        <w:t>rs as much as through the towns themselves.</w:t>
      </w:r>
      <w:r w:rsidR="00B07844">
        <w:rPr>
          <w:rStyle w:val="FootnoteReference"/>
          <w:rFonts w:ascii="Times New Roman" w:hAnsi="Times New Roman" w:cs="Times New Roman"/>
        </w:rPr>
        <w:footnoteReference w:id="17"/>
      </w:r>
      <w:r w:rsidR="00B07844">
        <w:rPr>
          <w:rFonts w:ascii="Times New Roman" w:hAnsi="Times New Roman" w:cs="Times New Roman"/>
        </w:rPr>
        <w:t xml:space="preserve"> </w:t>
      </w:r>
      <w:r w:rsidR="00DD41F1">
        <w:rPr>
          <w:rFonts w:ascii="Times New Roman" w:hAnsi="Times New Roman" w:cs="Times New Roman"/>
        </w:rPr>
        <w:t xml:space="preserve">Indeed, in the early years this dynamic seems to have functioned </w:t>
      </w:r>
      <w:r w:rsidR="00DD41F1">
        <w:rPr>
          <w:rFonts w:ascii="Times New Roman" w:hAnsi="Times New Roman" w:cs="Times New Roman"/>
        </w:rPr>
        <w:lastRenderedPageBreak/>
        <w:t>adequately</w:t>
      </w:r>
      <w:r w:rsidR="006F66BC">
        <w:rPr>
          <w:rFonts w:ascii="Times New Roman" w:hAnsi="Times New Roman" w:cs="Times New Roman"/>
        </w:rPr>
        <w:t>; New Towns were subject to complex byelaws and incentives as part of a manged local economy that encouraged industry to base plants around these areas</w:t>
      </w:r>
      <w:r w:rsidR="00DD41F1">
        <w:rPr>
          <w:rFonts w:ascii="Times New Roman" w:hAnsi="Times New Roman" w:cs="Times New Roman"/>
        </w:rPr>
        <w:t>.</w:t>
      </w:r>
      <w:r w:rsidR="006F66BC">
        <w:rPr>
          <w:rStyle w:val="FootnoteReference"/>
          <w:rFonts w:ascii="Times New Roman" w:hAnsi="Times New Roman" w:cs="Times New Roman"/>
        </w:rPr>
        <w:footnoteReference w:id="18"/>
      </w:r>
      <w:r w:rsidR="00DD41F1">
        <w:rPr>
          <w:rFonts w:ascii="Times New Roman" w:hAnsi="Times New Roman" w:cs="Times New Roman"/>
        </w:rPr>
        <w:t xml:space="preserve"> </w:t>
      </w:r>
      <w:r w:rsidR="00B07844">
        <w:rPr>
          <w:rFonts w:ascii="Times New Roman" w:hAnsi="Times New Roman" w:cs="Times New Roman"/>
        </w:rPr>
        <w:t xml:space="preserve">Yet, in a changing economic climate, neither town </w:t>
      </w:r>
      <w:r w:rsidR="006F66BC">
        <w:rPr>
          <w:rFonts w:ascii="Times New Roman" w:hAnsi="Times New Roman" w:cs="Times New Roman"/>
        </w:rPr>
        <w:t>could sustain</w:t>
      </w:r>
      <w:r w:rsidR="00B07844">
        <w:rPr>
          <w:rFonts w:ascii="Times New Roman" w:hAnsi="Times New Roman" w:cs="Times New Roman"/>
        </w:rPr>
        <w:t xml:space="preserve"> a sufficient level of local industry to provide self-contained employment opportunities for residents. Thus when the inhabitants were forced to look outside of the local town for work, they faced the decision to either relocate or commute. With most of the residents choosing the latter option</w:t>
      </w:r>
      <w:r w:rsidR="006F66BC">
        <w:rPr>
          <w:rFonts w:ascii="Times New Roman" w:hAnsi="Times New Roman" w:cs="Times New Roman"/>
        </w:rPr>
        <w:t xml:space="preserve"> alongside the concomitant loss of local employers as an overarching host or ‘father figure’</w:t>
      </w:r>
      <w:r w:rsidR="00B07844">
        <w:rPr>
          <w:rFonts w:ascii="Times New Roman" w:hAnsi="Times New Roman" w:cs="Times New Roman"/>
        </w:rPr>
        <w:t>, Rivera argues,</w:t>
      </w:r>
      <w:r w:rsidR="006F66BC">
        <w:rPr>
          <w:rFonts w:ascii="Times New Roman" w:hAnsi="Times New Roman" w:cs="Times New Roman"/>
        </w:rPr>
        <w:t xml:space="preserve"> any chance of community spirit died.</w:t>
      </w:r>
      <w:r w:rsidR="006F66BC">
        <w:rPr>
          <w:rStyle w:val="FootnoteReference"/>
          <w:rFonts w:ascii="Times New Roman" w:hAnsi="Times New Roman" w:cs="Times New Roman"/>
        </w:rPr>
        <w:footnoteReference w:id="19"/>
      </w:r>
      <w:r w:rsidR="006F66BC">
        <w:rPr>
          <w:rFonts w:ascii="Times New Roman" w:hAnsi="Times New Roman" w:cs="Times New Roman"/>
        </w:rPr>
        <w:t xml:space="preserve"> </w:t>
      </w:r>
      <w:r w:rsidR="00B07844">
        <w:rPr>
          <w:rFonts w:ascii="Times New Roman" w:hAnsi="Times New Roman" w:cs="Times New Roman"/>
        </w:rPr>
        <w:t xml:space="preserve"> </w:t>
      </w:r>
      <w:r w:rsidR="00F956DD">
        <w:rPr>
          <w:rFonts w:ascii="Times New Roman" w:hAnsi="Times New Roman" w:cs="Times New Roman"/>
        </w:rPr>
        <w:t xml:space="preserve">There is no sense here that New Towns ‘failed’ – failure, as a serious narrative, never spread beyond the media – and Rivera rightly sees little value in examining such an empty concept. Instead, the value of Rivera’s study is in highlighting the quite specific details and rigid assumptions about identity, sociability and movement that underpinned planners’ models of society and community, before showing the vulnerability of these constructions to the changing economic structures of the post-war world.  </w:t>
      </w:r>
      <w:r w:rsidR="00260BC9">
        <w:rPr>
          <w:rFonts w:ascii="Times New Roman" w:hAnsi="Times New Roman" w:cs="Times New Roman"/>
        </w:rPr>
        <w:t xml:space="preserve">   </w:t>
      </w:r>
    </w:p>
    <w:p w14:paraId="0CE0BE42" w14:textId="10ECD142" w:rsidR="00BF2974" w:rsidRDefault="005E4A3E" w:rsidP="00732322">
      <w:pPr>
        <w:spacing w:line="480" w:lineRule="auto"/>
        <w:jc w:val="both"/>
        <w:rPr>
          <w:rFonts w:ascii="Times New Roman" w:hAnsi="Times New Roman" w:cs="Times New Roman"/>
        </w:rPr>
      </w:pPr>
      <w:r w:rsidRPr="005E4A3E">
        <w:rPr>
          <w:rFonts w:ascii="Times New Roman" w:hAnsi="Times New Roman" w:cs="Times New Roman"/>
        </w:rPr>
        <w:tab/>
      </w:r>
      <w:r w:rsidR="001559B1">
        <w:rPr>
          <w:rFonts w:ascii="Times New Roman" w:hAnsi="Times New Roman" w:cs="Times New Roman"/>
        </w:rPr>
        <w:t xml:space="preserve">The problems of this type of </w:t>
      </w:r>
      <w:r w:rsidR="00F956DD">
        <w:rPr>
          <w:rFonts w:ascii="Times New Roman" w:hAnsi="Times New Roman" w:cs="Times New Roman"/>
        </w:rPr>
        <w:t xml:space="preserve">planning </w:t>
      </w:r>
      <w:r w:rsidR="001559B1">
        <w:rPr>
          <w:rFonts w:ascii="Times New Roman" w:hAnsi="Times New Roman" w:cs="Times New Roman"/>
        </w:rPr>
        <w:t xml:space="preserve">rigidity, this time </w:t>
      </w:r>
      <w:r w:rsidR="00F956DD">
        <w:rPr>
          <w:rFonts w:ascii="Times New Roman" w:hAnsi="Times New Roman" w:cs="Times New Roman"/>
        </w:rPr>
        <w:t>exemplified in planning patterns of</w:t>
      </w:r>
      <w:r w:rsidR="001559B1">
        <w:rPr>
          <w:rFonts w:ascii="Times New Roman" w:hAnsi="Times New Roman" w:cs="Times New Roman"/>
        </w:rPr>
        <w:t xml:space="preserve"> c</w:t>
      </w:r>
      <w:r w:rsidR="00EB7154" w:rsidRPr="005E4A3E">
        <w:rPr>
          <w:rFonts w:ascii="Times New Roman" w:hAnsi="Times New Roman" w:cs="Times New Roman"/>
        </w:rPr>
        <w:t xml:space="preserve">onsumption, retail and the spaces in which they might occur </w:t>
      </w:r>
      <w:r w:rsidR="001559B1">
        <w:rPr>
          <w:rFonts w:ascii="Times New Roman" w:hAnsi="Times New Roman" w:cs="Times New Roman"/>
        </w:rPr>
        <w:t>– is</w:t>
      </w:r>
      <w:r w:rsidR="00EB7154" w:rsidRPr="005E4A3E">
        <w:rPr>
          <w:rFonts w:ascii="Times New Roman" w:hAnsi="Times New Roman" w:cs="Times New Roman"/>
        </w:rPr>
        <w:t xml:space="preserve"> also the subject of Sarah Mass’</w:t>
      </w:r>
      <w:r w:rsidR="00103FDD" w:rsidRPr="005E4A3E">
        <w:rPr>
          <w:rFonts w:ascii="Times New Roman" w:hAnsi="Times New Roman" w:cs="Times New Roman"/>
        </w:rPr>
        <w:t xml:space="preserve"> thesis, </w:t>
      </w:r>
      <w:r w:rsidR="00FF162F" w:rsidRPr="005E4A3E">
        <w:rPr>
          <w:rFonts w:ascii="Times New Roman" w:hAnsi="Times New Roman" w:cs="Times New Roman"/>
        </w:rPr>
        <w:t xml:space="preserve">which </w:t>
      </w:r>
      <w:r w:rsidR="00EB7154" w:rsidRPr="005E4A3E">
        <w:rPr>
          <w:rFonts w:ascii="Times New Roman" w:hAnsi="Times New Roman" w:cs="Times New Roman"/>
        </w:rPr>
        <w:t xml:space="preserve">deals with how small-scale retail, particularly town and city markets, adapted to </w:t>
      </w:r>
      <w:r w:rsidR="00FF162F" w:rsidRPr="005E4A3E">
        <w:rPr>
          <w:rFonts w:ascii="Times New Roman" w:hAnsi="Times New Roman" w:cs="Times New Roman"/>
        </w:rPr>
        <w:t xml:space="preserve">both </w:t>
      </w:r>
      <w:r w:rsidR="00CD4B33" w:rsidRPr="005E4A3E">
        <w:rPr>
          <w:rFonts w:ascii="Times New Roman" w:hAnsi="Times New Roman" w:cs="Times New Roman"/>
        </w:rPr>
        <w:t>period</w:t>
      </w:r>
      <w:r w:rsidR="006E03BD" w:rsidRPr="005E4A3E">
        <w:rPr>
          <w:rFonts w:ascii="Times New Roman" w:hAnsi="Times New Roman" w:cs="Times New Roman"/>
        </w:rPr>
        <w:t>s of</w:t>
      </w:r>
      <w:r w:rsidR="00CD4B33" w:rsidRPr="005E4A3E">
        <w:rPr>
          <w:rFonts w:ascii="Times New Roman" w:hAnsi="Times New Roman" w:cs="Times New Roman"/>
        </w:rPr>
        <w:t xml:space="preserve"> </w:t>
      </w:r>
      <w:r w:rsidR="00FF162F" w:rsidRPr="005E4A3E">
        <w:rPr>
          <w:rFonts w:ascii="Times New Roman" w:hAnsi="Times New Roman" w:cs="Times New Roman"/>
        </w:rPr>
        <w:t>economic hardship</w:t>
      </w:r>
      <w:r w:rsidR="00EB7154" w:rsidRPr="005E4A3E">
        <w:rPr>
          <w:rFonts w:ascii="Times New Roman" w:hAnsi="Times New Roman" w:cs="Times New Roman"/>
        </w:rPr>
        <w:t xml:space="preserve"> and modernist urban renewal.</w:t>
      </w:r>
      <w:r w:rsidR="009B17FD" w:rsidRPr="005E4A3E">
        <w:rPr>
          <w:rStyle w:val="FootnoteReference"/>
          <w:rFonts w:ascii="Times New Roman" w:hAnsi="Times New Roman" w:cs="Times New Roman"/>
        </w:rPr>
        <w:footnoteReference w:id="20"/>
      </w:r>
      <w:r w:rsidR="00EB7154" w:rsidRPr="005E4A3E">
        <w:rPr>
          <w:rFonts w:ascii="Times New Roman" w:hAnsi="Times New Roman" w:cs="Times New Roman"/>
        </w:rPr>
        <w:t xml:space="preserve"> This i</w:t>
      </w:r>
      <w:r w:rsidR="00214743" w:rsidRPr="005E4A3E">
        <w:rPr>
          <w:rFonts w:ascii="Times New Roman" w:hAnsi="Times New Roman" w:cs="Times New Roman"/>
        </w:rPr>
        <w:t xml:space="preserve">s a process Mass views over </w:t>
      </w:r>
      <w:r w:rsidR="00EB7154" w:rsidRPr="005E4A3E">
        <w:rPr>
          <w:rFonts w:ascii="Times New Roman" w:hAnsi="Times New Roman" w:cs="Times New Roman"/>
        </w:rPr>
        <w:t xml:space="preserve">a broadly conceived </w:t>
      </w:r>
      <w:r w:rsidR="00FF162F" w:rsidRPr="005E4A3E">
        <w:rPr>
          <w:rFonts w:ascii="Times New Roman" w:hAnsi="Times New Roman" w:cs="Times New Roman"/>
        </w:rPr>
        <w:t>‘mid-century’ stretching from 1925 until 1979</w:t>
      </w:r>
      <w:r w:rsidR="00EB7154" w:rsidRPr="005E4A3E">
        <w:rPr>
          <w:rFonts w:ascii="Times New Roman" w:hAnsi="Times New Roman" w:cs="Times New Roman"/>
        </w:rPr>
        <w:t>, but here it is chapters three and four</w:t>
      </w:r>
      <w:r w:rsidR="00FF162F" w:rsidRPr="005E4A3E">
        <w:rPr>
          <w:rFonts w:ascii="Times New Roman" w:hAnsi="Times New Roman" w:cs="Times New Roman"/>
        </w:rPr>
        <w:t xml:space="preserve"> concerning</w:t>
      </w:r>
      <w:r w:rsidR="00EB7154" w:rsidRPr="005E4A3E">
        <w:rPr>
          <w:rFonts w:ascii="Times New Roman" w:hAnsi="Times New Roman" w:cs="Times New Roman"/>
        </w:rPr>
        <w:t xml:space="preserve"> the post-war</w:t>
      </w:r>
      <w:r w:rsidR="00FF162F" w:rsidRPr="005E4A3E">
        <w:rPr>
          <w:rFonts w:ascii="Times New Roman" w:hAnsi="Times New Roman" w:cs="Times New Roman"/>
        </w:rPr>
        <w:t xml:space="preserve"> period</w:t>
      </w:r>
      <w:r w:rsidR="00EB7154" w:rsidRPr="005E4A3E">
        <w:rPr>
          <w:rFonts w:ascii="Times New Roman" w:hAnsi="Times New Roman" w:cs="Times New Roman"/>
        </w:rPr>
        <w:t xml:space="preserve"> that are of most interest. The local market, Mass sh</w:t>
      </w:r>
      <w:r w:rsidR="006E03BD" w:rsidRPr="005E4A3E">
        <w:rPr>
          <w:rFonts w:ascii="Times New Roman" w:hAnsi="Times New Roman" w:cs="Times New Roman"/>
        </w:rPr>
        <w:t>ows, was a space that seemed somewhat antagonistic</w:t>
      </w:r>
      <w:r w:rsidR="00EB7154" w:rsidRPr="005E4A3E">
        <w:rPr>
          <w:rFonts w:ascii="Times New Roman" w:hAnsi="Times New Roman" w:cs="Times New Roman"/>
        </w:rPr>
        <w:t xml:space="preserve"> to the developing large-scale</w:t>
      </w:r>
      <w:r w:rsidR="006E03BD" w:rsidRPr="005E4A3E">
        <w:rPr>
          <w:rFonts w:ascii="Times New Roman" w:hAnsi="Times New Roman" w:cs="Times New Roman"/>
        </w:rPr>
        <w:t>,</w:t>
      </w:r>
      <w:r w:rsidR="00CD4B33" w:rsidRPr="005E4A3E">
        <w:rPr>
          <w:rFonts w:ascii="Times New Roman" w:hAnsi="Times New Roman" w:cs="Times New Roman"/>
        </w:rPr>
        <w:t xml:space="preserve"> increasingly chain-store-oriented definitions of retail at the centre of </w:t>
      </w:r>
      <w:r w:rsidR="00103FDD" w:rsidRPr="005E4A3E">
        <w:rPr>
          <w:rFonts w:ascii="Times New Roman" w:hAnsi="Times New Roman" w:cs="Times New Roman"/>
        </w:rPr>
        <w:t xml:space="preserve">the types of </w:t>
      </w:r>
      <w:r w:rsidR="00CD4B33" w:rsidRPr="005E4A3E">
        <w:rPr>
          <w:rFonts w:ascii="Times New Roman" w:hAnsi="Times New Roman" w:cs="Times New Roman"/>
        </w:rPr>
        <w:t>modernist redevelopment</w:t>
      </w:r>
      <w:r w:rsidR="00103FDD" w:rsidRPr="005E4A3E">
        <w:rPr>
          <w:rFonts w:ascii="Times New Roman" w:hAnsi="Times New Roman" w:cs="Times New Roman"/>
        </w:rPr>
        <w:t xml:space="preserve"> illustrated by Kefford and Saumarez Smith</w:t>
      </w:r>
      <w:r w:rsidR="00FB0FD0" w:rsidRPr="005E4A3E">
        <w:rPr>
          <w:rFonts w:ascii="Times New Roman" w:hAnsi="Times New Roman" w:cs="Times New Roman"/>
        </w:rPr>
        <w:t xml:space="preserve">. </w:t>
      </w:r>
      <w:r w:rsidR="00103FDD" w:rsidRPr="005E4A3E">
        <w:rPr>
          <w:rFonts w:ascii="Times New Roman" w:hAnsi="Times New Roman" w:cs="Times New Roman"/>
        </w:rPr>
        <w:t>Market halls, outdoor and street markets</w:t>
      </w:r>
      <w:r w:rsidR="00FB0FD0" w:rsidRPr="005E4A3E">
        <w:rPr>
          <w:rFonts w:ascii="Times New Roman" w:hAnsi="Times New Roman" w:cs="Times New Roman"/>
        </w:rPr>
        <w:t xml:space="preserve"> were</w:t>
      </w:r>
      <w:r w:rsidR="00103FDD" w:rsidRPr="005E4A3E">
        <w:rPr>
          <w:rFonts w:ascii="Times New Roman" w:hAnsi="Times New Roman" w:cs="Times New Roman"/>
        </w:rPr>
        <w:t>, in contrast,</w:t>
      </w:r>
      <w:r w:rsidR="00FB0FD0" w:rsidRPr="005E4A3E">
        <w:rPr>
          <w:rFonts w:ascii="Times New Roman" w:hAnsi="Times New Roman" w:cs="Times New Roman"/>
        </w:rPr>
        <w:t xml:space="preserve"> anachronistic, undifferentiated and chaotic, </w:t>
      </w:r>
      <w:r w:rsidR="00FB0FD0" w:rsidRPr="005E4A3E">
        <w:rPr>
          <w:rFonts w:ascii="Times New Roman" w:hAnsi="Times New Roman" w:cs="Times New Roman"/>
        </w:rPr>
        <w:lastRenderedPageBreak/>
        <w:t>causing congestion and restricting flows of people and traffic. Y</w:t>
      </w:r>
      <w:r w:rsidR="00CD4B33" w:rsidRPr="005E4A3E">
        <w:rPr>
          <w:rFonts w:ascii="Times New Roman" w:hAnsi="Times New Roman" w:cs="Times New Roman"/>
        </w:rPr>
        <w:t>et</w:t>
      </w:r>
      <w:r w:rsidR="000C59EB" w:rsidRPr="005E4A3E">
        <w:rPr>
          <w:rFonts w:ascii="Times New Roman" w:hAnsi="Times New Roman" w:cs="Times New Roman"/>
        </w:rPr>
        <w:t xml:space="preserve"> </w:t>
      </w:r>
      <w:r w:rsidR="00FB0FD0" w:rsidRPr="005E4A3E">
        <w:rPr>
          <w:rFonts w:ascii="Times New Roman" w:hAnsi="Times New Roman" w:cs="Times New Roman"/>
        </w:rPr>
        <w:t>market</w:t>
      </w:r>
      <w:r w:rsidR="00103FDD" w:rsidRPr="005E4A3E">
        <w:rPr>
          <w:rFonts w:ascii="Times New Roman" w:hAnsi="Times New Roman" w:cs="Times New Roman"/>
        </w:rPr>
        <w:t>s</w:t>
      </w:r>
      <w:r w:rsidR="00FB0FD0" w:rsidRPr="005E4A3E">
        <w:rPr>
          <w:rFonts w:ascii="Times New Roman" w:hAnsi="Times New Roman" w:cs="Times New Roman"/>
        </w:rPr>
        <w:t xml:space="preserve"> also represented a site of</w:t>
      </w:r>
      <w:r w:rsidR="006E03BD" w:rsidRPr="005E4A3E">
        <w:rPr>
          <w:rFonts w:ascii="Times New Roman" w:hAnsi="Times New Roman" w:cs="Times New Roman"/>
        </w:rPr>
        <w:t xml:space="preserve"> </w:t>
      </w:r>
      <w:r w:rsidR="00FB0FD0" w:rsidRPr="005E4A3E">
        <w:rPr>
          <w:rFonts w:ascii="Times New Roman" w:hAnsi="Times New Roman" w:cs="Times New Roman"/>
        </w:rPr>
        <w:t>what Jane Jacob</w:t>
      </w:r>
      <w:r w:rsidR="00FF162F" w:rsidRPr="005E4A3E">
        <w:rPr>
          <w:rFonts w:ascii="Times New Roman" w:hAnsi="Times New Roman" w:cs="Times New Roman"/>
        </w:rPr>
        <w:t>s termed ‘organised complexity’:</w:t>
      </w:r>
      <w:r w:rsidR="000C59EB" w:rsidRPr="005E4A3E">
        <w:rPr>
          <w:rFonts w:ascii="Times New Roman" w:hAnsi="Times New Roman" w:cs="Times New Roman"/>
        </w:rPr>
        <w:t xml:space="preserve"> cultural and civic space</w:t>
      </w:r>
      <w:r w:rsidR="00FF162F" w:rsidRPr="005E4A3E">
        <w:rPr>
          <w:rFonts w:ascii="Times New Roman" w:hAnsi="Times New Roman" w:cs="Times New Roman"/>
        </w:rPr>
        <w:t>s infused with</w:t>
      </w:r>
      <w:r w:rsidR="000C59EB" w:rsidRPr="005E4A3E">
        <w:rPr>
          <w:rFonts w:ascii="Times New Roman" w:hAnsi="Times New Roman" w:cs="Times New Roman"/>
        </w:rPr>
        <w:t xml:space="preserve"> tr</w:t>
      </w:r>
      <w:r w:rsidR="00103FDD" w:rsidRPr="005E4A3E">
        <w:rPr>
          <w:rFonts w:ascii="Times New Roman" w:hAnsi="Times New Roman" w:cs="Times New Roman"/>
        </w:rPr>
        <w:t xml:space="preserve">adition and local identity. This was </w:t>
      </w:r>
      <w:r w:rsidR="00FB0FD0" w:rsidRPr="005E4A3E">
        <w:rPr>
          <w:rFonts w:ascii="Times New Roman" w:hAnsi="Times New Roman" w:cs="Times New Roman"/>
        </w:rPr>
        <w:t xml:space="preserve">something </w:t>
      </w:r>
      <w:r w:rsidR="00985771">
        <w:rPr>
          <w:rFonts w:ascii="Times New Roman" w:hAnsi="Times New Roman" w:cs="Times New Roman"/>
        </w:rPr>
        <w:t xml:space="preserve">many modernist </w:t>
      </w:r>
      <w:r w:rsidR="00FB0FD0" w:rsidRPr="005E4A3E">
        <w:rPr>
          <w:rFonts w:ascii="Times New Roman" w:hAnsi="Times New Roman" w:cs="Times New Roman"/>
        </w:rPr>
        <w:t>planners struggled to understand</w:t>
      </w:r>
      <w:r w:rsidR="00103FDD" w:rsidRPr="005E4A3E">
        <w:rPr>
          <w:rFonts w:ascii="Times New Roman" w:hAnsi="Times New Roman" w:cs="Times New Roman"/>
        </w:rPr>
        <w:t xml:space="preserve"> within their </w:t>
      </w:r>
      <w:r w:rsidR="00FF162F" w:rsidRPr="005E4A3E">
        <w:rPr>
          <w:rFonts w:ascii="Times New Roman" w:hAnsi="Times New Roman" w:cs="Times New Roman"/>
        </w:rPr>
        <w:t xml:space="preserve">rigid </w:t>
      </w:r>
      <w:r w:rsidR="00103FDD" w:rsidRPr="005E4A3E">
        <w:rPr>
          <w:rFonts w:ascii="Times New Roman" w:hAnsi="Times New Roman" w:cs="Times New Roman"/>
        </w:rPr>
        <w:t xml:space="preserve">logics of </w:t>
      </w:r>
      <w:r w:rsidR="00FF162F" w:rsidRPr="005E4A3E">
        <w:rPr>
          <w:rFonts w:ascii="Times New Roman" w:hAnsi="Times New Roman" w:cs="Times New Roman"/>
        </w:rPr>
        <w:t xml:space="preserve">form, </w:t>
      </w:r>
      <w:r w:rsidR="00103FDD" w:rsidRPr="005E4A3E">
        <w:rPr>
          <w:rFonts w:ascii="Times New Roman" w:hAnsi="Times New Roman" w:cs="Times New Roman"/>
        </w:rPr>
        <w:t>flow and function</w:t>
      </w:r>
      <w:r w:rsidR="00FB0FD0" w:rsidRPr="005E4A3E">
        <w:rPr>
          <w:rFonts w:ascii="Times New Roman" w:hAnsi="Times New Roman" w:cs="Times New Roman"/>
        </w:rPr>
        <w:t>, but which was culturally important and a</w:t>
      </w:r>
      <w:r w:rsidR="006E03BD" w:rsidRPr="005E4A3E">
        <w:rPr>
          <w:rFonts w:ascii="Times New Roman" w:hAnsi="Times New Roman" w:cs="Times New Roman"/>
        </w:rPr>
        <w:t xml:space="preserve"> real economic necessity for those who did not enjoy the benefits of increasing affluence.</w:t>
      </w:r>
      <w:r w:rsidR="009B17FD" w:rsidRPr="005E4A3E">
        <w:rPr>
          <w:rStyle w:val="FootnoteReference"/>
          <w:rFonts w:ascii="Times New Roman" w:hAnsi="Times New Roman" w:cs="Times New Roman"/>
        </w:rPr>
        <w:footnoteReference w:id="21"/>
      </w:r>
      <w:r w:rsidR="006E03BD" w:rsidRPr="005E4A3E">
        <w:rPr>
          <w:rFonts w:ascii="Times New Roman" w:hAnsi="Times New Roman" w:cs="Times New Roman"/>
        </w:rPr>
        <w:t xml:space="preserve"> </w:t>
      </w:r>
      <w:r w:rsidR="00103FDD" w:rsidRPr="005E4A3E">
        <w:rPr>
          <w:rFonts w:ascii="Times New Roman" w:hAnsi="Times New Roman" w:cs="Times New Roman"/>
        </w:rPr>
        <w:t>Mass’</w:t>
      </w:r>
      <w:r w:rsidR="006E03BD" w:rsidRPr="005E4A3E">
        <w:rPr>
          <w:rFonts w:ascii="Times New Roman" w:hAnsi="Times New Roman" w:cs="Times New Roman"/>
        </w:rPr>
        <w:t xml:space="preserve"> examination of the way Fredrick Gibberd in </w:t>
      </w:r>
      <w:r w:rsidR="002A22D3">
        <w:rPr>
          <w:rFonts w:ascii="Times New Roman" w:hAnsi="Times New Roman" w:cs="Times New Roman"/>
        </w:rPr>
        <w:t xml:space="preserve">1950s </w:t>
      </w:r>
      <w:r w:rsidR="006E03BD" w:rsidRPr="005E4A3E">
        <w:rPr>
          <w:rFonts w:ascii="Times New Roman" w:hAnsi="Times New Roman" w:cs="Times New Roman"/>
        </w:rPr>
        <w:t xml:space="preserve">Harlow and </w:t>
      </w:r>
      <w:r w:rsidR="002A22D3">
        <w:rPr>
          <w:rFonts w:ascii="Times New Roman" w:hAnsi="Times New Roman" w:cs="Times New Roman"/>
        </w:rPr>
        <w:t xml:space="preserve">later </w:t>
      </w:r>
      <w:r w:rsidR="006E03BD" w:rsidRPr="005E4A3E">
        <w:rPr>
          <w:rFonts w:ascii="Times New Roman" w:hAnsi="Times New Roman" w:cs="Times New Roman"/>
        </w:rPr>
        <w:t>Konrad Smigielski in Leicester retained open markets in their ‘townscape’</w:t>
      </w:r>
      <w:r w:rsidR="00FF162F" w:rsidRPr="005E4A3E">
        <w:rPr>
          <w:rFonts w:ascii="Times New Roman" w:hAnsi="Times New Roman" w:cs="Times New Roman"/>
        </w:rPr>
        <w:t xml:space="preserve"> type development plans</w:t>
      </w:r>
      <w:r w:rsidR="00214743" w:rsidRPr="005E4A3E">
        <w:rPr>
          <w:rFonts w:ascii="Times New Roman" w:hAnsi="Times New Roman" w:cs="Times New Roman"/>
        </w:rPr>
        <w:t>,</w:t>
      </w:r>
      <w:r w:rsidR="00FF162F" w:rsidRPr="005E4A3E">
        <w:rPr>
          <w:rFonts w:ascii="Times New Roman" w:hAnsi="Times New Roman" w:cs="Times New Roman"/>
        </w:rPr>
        <w:t xml:space="preserve"> </w:t>
      </w:r>
      <w:r w:rsidR="00985771">
        <w:rPr>
          <w:rFonts w:ascii="Times New Roman" w:hAnsi="Times New Roman" w:cs="Times New Roman"/>
        </w:rPr>
        <w:t xml:space="preserve">tells the story of </w:t>
      </w:r>
      <w:r w:rsidR="00AE1986">
        <w:rPr>
          <w:rFonts w:ascii="Times New Roman" w:hAnsi="Times New Roman" w:cs="Times New Roman"/>
        </w:rPr>
        <w:t xml:space="preserve">a strand within </w:t>
      </w:r>
      <w:r w:rsidR="00F250A2">
        <w:rPr>
          <w:rFonts w:ascii="Times New Roman" w:hAnsi="Times New Roman" w:cs="Times New Roman"/>
        </w:rPr>
        <w:t>modernism that questioned the</w:t>
      </w:r>
      <w:r w:rsidR="00985771">
        <w:rPr>
          <w:rFonts w:ascii="Times New Roman" w:hAnsi="Times New Roman" w:cs="Times New Roman"/>
        </w:rPr>
        <w:t xml:space="preserve"> </w:t>
      </w:r>
      <w:r w:rsidR="00FB0FD0" w:rsidRPr="005E4A3E">
        <w:rPr>
          <w:rFonts w:ascii="Times New Roman" w:hAnsi="Times New Roman" w:cs="Times New Roman"/>
        </w:rPr>
        <w:t xml:space="preserve">strictly functional </w:t>
      </w:r>
      <w:r w:rsidR="003C5339" w:rsidRPr="005E4A3E">
        <w:rPr>
          <w:rFonts w:ascii="Times New Roman" w:hAnsi="Times New Roman" w:cs="Times New Roman"/>
        </w:rPr>
        <w:t>notion of</w:t>
      </w:r>
      <w:r w:rsidR="00F250A2">
        <w:rPr>
          <w:rFonts w:ascii="Times New Roman" w:hAnsi="Times New Roman" w:cs="Times New Roman"/>
        </w:rPr>
        <w:t xml:space="preserve"> the social that dominated the types of large-scale modernist town plans in the immediate post-war period</w:t>
      </w:r>
      <w:r w:rsidR="00F019E6" w:rsidRPr="005E4A3E">
        <w:rPr>
          <w:rFonts w:ascii="Times New Roman" w:hAnsi="Times New Roman" w:cs="Times New Roman"/>
        </w:rPr>
        <w:t xml:space="preserve">. </w:t>
      </w:r>
      <w:r w:rsidR="00AE1986" w:rsidRPr="005E4A3E">
        <w:rPr>
          <w:rFonts w:ascii="Times New Roman" w:hAnsi="Times New Roman" w:cs="Times New Roman"/>
        </w:rPr>
        <w:t xml:space="preserve">For planners like Hibberd and Smigielski the very messiness and complexity of the market was what made it intrinsic to producing functioning towns and cities. Markets’ traditions, heritage and culture stimulated legibility and civic value in the urban landscape. </w:t>
      </w:r>
      <w:r w:rsidR="000C59EB" w:rsidRPr="005E4A3E">
        <w:rPr>
          <w:rFonts w:ascii="Times New Roman" w:hAnsi="Times New Roman" w:cs="Times New Roman"/>
        </w:rPr>
        <w:t xml:space="preserve">In this sense, </w:t>
      </w:r>
      <w:r w:rsidR="00AE1986">
        <w:rPr>
          <w:rFonts w:ascii="Times New Roman" w:hAnsi="Times New Roman" w:cs="Times New Roman"/>
        </w:rPr>
        <w:t>this study is a welcome tonic to depictions of</w:t>
      </w:r>
      <w:r w:rsidR="000C59EB" w:rsidRPr="005E4A3E">
        <w:rPr>
          <w:rFonts w:ascii="Times New Roman" w:hAnsi="Times New Roman" w:cs="Times New Roman"/>
        </w:rPr>
        <w:t xml:space="preserve"> modernism as monolithic, dogmatic and unchanging</w:t>
      </w:r>
      <w:r w:rsidR="00AE1986">
        <w:rPr>
          <w:rFonts w:ascii="Times New Roman" w:hAnsi="Times New Roman" w:cs="Times New Roman"/>
        </w:rPr>
        <w:t>. L</w:t>
      </w:r>
      <w:r w:rsidR="00FF162F" w:rsidRPr="005E4A3E">
        <w:rPr>
          <w:rFonts w:ascii="Times New Roman" w:hAnsi="Times New Roman" w:cs="Times New Roman"/>
        </w:rPr>
        <w:t>ike many other theses here,</w:t>
      </w:r>
      <w:r w:rsidR="00AE1986">
        <w:rPr>
          <w:rFonts w:ascii="Times New Roman" w:hAnsi="Times New Roman" w:cs="Times New Roman"/>
        </w:rPr>
        <w:t xml:space="preserve"> Mass</w:t>
      </w:r>
      <w:r w:rsidR="00FF162F" w:rsidRPr="005E4A3E">
        <w:rPr>
          <w:rFonts w:ascii="Times New Roman" w:hAnsi="Times New Roman" w:cs="Times New Roman"/>
        </w:rPr>
        <w:t xml:space="preserve"> departs from overly formal understandings of the forces that shaped British towns and cities</w:t>
      </w:r>
      <w:r w:rsidR="00214743" w:rsidRPr="005E4A3E">
        <w:rPr>
          <w:rFonts w:ascii="Times New Roman" w:hAnsi="Times New Roman" w:cs="Times New Roman"/>
        </w:rPr>
        <w:t>, moving them from the architectural and economic into the social and the cultural.</w:t>
      </w:r>
      <w:r w:rsidR="00F019E6" w:rsidRPr="005E4A3E">
        <w:rPr>
          <w:rFonts w:ascii="Times New Roman" w:hAnsi="Times New Roman" w:cs="Times New Roman"/>
        </w:rPr>
        <w:t xml:space="preserve"> </w:t>
      </w:r>
    </w:p>
    <w:p w14:paraId="06F67681" w14:textId="113DAC2E" w:rsidR="004011ED" w:rsidRPr="005E4A3E" w:rsidRDefault="004011ED" w:rsidP="00732322">
      <w:pPr>
        <w:spacing w:line="480" w:lineRule="auto"/>
        <w:jc w:val="both"/>
        <w:rPr>
          <w:rFonts w:ascii="Times New Roman" w:hAnsi="Times New Roman" w:cs="Times New Roman"/>
        </w:rPr>
      </w:pPr>
      <w:r>
        <w:rPr>
          <w:rFonts w:ascii="Times New Roman" w:hAnsi="Times New Roman" w:cs="Times New Roman"/>
        </w:rPr>
        <w:tab/>
        <w:t>T</w:t>
      </w:r>
      <w:r w:rsidR="003560CA">
        <w:rPr>
          <w:rFonts w:ascii="Times New Roman" w:hAnsi="Times New Roman" w:cs="Times New Roman"/>
        </w:rPr>
        <w:t xml:space="preserve">his attention to civic value in </w:t>
      </w:r>
      <w:proofErr w:type="spellStart"/>
      <w:r>
        <w:rPr>
          <w:rFonts w:ascii="Times New Roman" w:hAnsi="Times New Roman" w:cs="Times New Roman"/>
        </w:rPr>
        <w:t>Gibberd’s</w:t>
      </w:r>
      <w:proofErr w:type="spellEnd"/>
      <w:r>
        <w:rPr>
          <w:rFonts w:ascii="Times New Roman" w:hAnsi="Times New Roman" w:cs="Times New Roman"/>
        </w:rPr>
        <w:t xml:space="preserve"> designs for Harlow, this time from the perspective of visual planning, is </w:t>
      </w:r>
      <w:r w:rsidR="002A22D3">
        <w:rPr>
          <w:rFonts w:ascii="Times New Roman" w:hAnsi="Times New Roman" w:cs="Times New Roman"/>
        </w:rPr>
        <w:t xml:space="preserve">also </w:t>
      </w:r>
      <w:r>
        <w:rPr>
          <w:rFonts w:ascii="Times New Roman" w:hAnsi="Times New Roman" w:cs="Times New Roman"/>
        </w:rPr>
        <w:t xml:space="preserve">picked up in Christine Manley’s 2014 thesis that reminds us that the aesthetics of town planning are themselves infused with judgements about </w:t>
      </w:r>
      <w:r w:rsidR="003560CA">
        <w:rPr>
          <w:rFonts w:ascii="Times New Roman" w:hAnsi="Times New Roman" w:cs="Times New Roman"/>
        </w:rPr>
        <w:t xml:space="preserve">the qualities of </w:t>
      </w:r>
      <w:r>
        <w:rPr>
          <w:rFonts w:ascii="Times New Roman" w:hAnsi="Times New Roman" w:cs="Times New Roman"/>
        </w:rPr>
        <w:t>ordinary lives.</w:t>
      </w:r>
      <w:r>
        <w:rPr>
          <w:rStyle w:val="FootnoteReference"/>
          <w:rFonts w:ascii="Times New Roman" w:hAnsi="Times New Roman" w:cs="Times New Roman"/>
        </w:rPr>
        <w:footnoteReference w:id="22"/>
      </w:r>
      <w:r>
        <w:rPr>
          <w:rFonts w:ascii="Times New Roman" w:hAnsi="Times New Roman" w:cs="Times New Roman"/>
        </w:rPr>
        <w:t xml:space="preserve"> Manley’s work shows how Gibberd understood the </w:t>
      </w:r>
      <w:r w:rsidR="002A22D3">
        <w:rPr>
          <w:rFonts w:ascii="Times New Roman" w:hAnsi="Times New Roman" w:cs="Times New Roman"/>
        </w:rPr>
        <w:t>experiential elements</w:t>
      </w:r>
      <w:r>
        <w:rPr>
          <w:rFonts w:ascii="Times New Roman" w:hAnsi="Times New Roman" w:cs="Times New Roman"/>
        </w:rPr>
        <w:t xml:space="preserve"> of what made</w:t>
      </w:r>
      <w:r w:rsidR="002A22D3">
        <w:rPr>
          <w:rFonts w:ascii="Times New Roman" w:hAnsi="Times New Roman" w:cs="Times New Roman"/>
        </w:rPr>
        <w:t xml:space="preserve"> an </w:t>
      </w:r>
      <w:r w:rsidR="003560CA">
        <w:rPr>
          <w:rFonts w:ascii="Times New Roman" w:hAnsi="Times New Roman" w:cs="Times New Roman"/>
        </w:rPr>
        <w:t>English</w:t>
      </w:r>
      <w:r w:rsidR="002A22D3">
        <w:rPr>
          <w:rFonts w:ascii="Times New Roman" w:hAnsi="Times New Roman" w:cs="Times New Roman"/>
        </w:rPr>
        <w:t xml:space="preserve"> town, via</w:t>
      </w:r>
      <w:r>
        <w:rPr>
          <w:rFonts w:ascii="Times New Roman" w:hAnsi="Times New Roman" w:cs="Times New Roman"/>
        </w:rPr>
        <w:t xml:space="preserve"> </w:t>
      </w:r>
      <w:r w:rsidR="003560CA">
        <w:rPr>
          <w:rFonts w:ascii="Times New Roman" w:hAnsi="Times New Roman" w:cs="Times New Roman"/>
        </w:rPr>
        <w:t>a</w:t>
      </w:r>
      <w:r>
        <w:rPr>
          <w:rFonts w:ascii="Times New Roman" w:hAnsi="Times New Roman" w:cs="Times New Roman"/>
        </w:rPr>
        <w:t xml:space="preserve"> </w:t>
      </w:r>
      <w:r w:rsidR="003560CA">
        <w:rPr>
          <w:rFonts w:ascii="Times New Roman" w:hAnsi="Times New Roman" w:cs="Times New Roman"/>
        </w:rPr>
        <w:t xml:space="preserve">visual language </w:t>
      </w:r>
      <w:r>
        <w:rPr>
          <w:rFonts w:ascii="Times New Roman" w:hAnsi="Times New Roman" w:cs="Times New Roman"/>
        </w:rPr>
        <w:t xml:space="preserve">of </w:t>
      </w:r>
      <w:r w:rsidR="003560CA">
        <w:rPr>
          <w:rFonts w:ascii="Times New Roman" w:hAnsi="Times New Roman" w:cs="Times New Roman"/>
        </w:rPr>
        <w:t>‘</w:t>
      </w:r>
      <w:r>
        <w:rPr>
          <w:rFonts w:ascii="Times New Roman" w:hAnsi="Times New Roman" w:cs="Times New Roman"/>
        </w:rPr>
        <w:t>urbanity</w:t>
      </w:r>
      <w:r w:rsidR="003560CA">
        <w:rPr>
          <w:rFonts w:ascii="Times New Roman" w:hAnsi="Times New Roman" w:cs="Times New Roman"/>
        </w:rPr>
        <w:t>’ – literally a visual, town-like quality</w:t>
      </w:r>
      <w:r w:rsidR="007148AE">
        <w:rPr>
          <w:rFonts w:ascii="Times New Roman" w:hAnsi="Times New Roman" w:cs="Times New Roman"/>
        </w:rPr>
        <w:t xml:space="preserve">. </w:t>
      </w:r>
      <w:proofErr w:type="spellStart"/>
      <w:r w:rsidR="00AE1986">
        <w:rPr>
          <w:rFonts w:ascii="Times New Roman" w:hAnsi="Times New Roman" w:cs="Times New Roman"/>
        </w:rPr>
        <w:t>Gibberd’s</w:t>
      </w:r>
      <w:proofErr w:type="spellEnd"/>
      <w:r w:rsidR="00AE1986">
        <w:rPr>
          <w:rFonts w:ascii="Times New Roman" w:hAnsi="Times New Roman" w:cs="Times New Roman"/>
        </w:rPr>
        <w:t xml:space="preserve"> designs were</w:t>
      </w:r>
      <w:r w:rsidR="002A22D3">
        <w:rPr>
          <w:rFonts w:ascii="Times New Roman" w:hAnsi="Times New Roman" w:cs="Times New Roman"/>
        </w:rPr>
        <w:t>, she argues,</w:t>
      </w:r>
      <w:r w:rsidR="00AE1986">
        <w:rPr>
          <w:rFonts w:ascii="Times New Roman" w:hAnsi="Times New Roman" w:cs="Times New Roman"/>
        </w:rPr>
        <w:t xml:space="preserve"> focused wholly on aesthetics and </w:t>
      </w:r>
      <w:r w:rsidR="00822FCD">
        <w:rPr>
          <w:rFonts w:ascii="Times New Roman" w:hAnsi="Times New Roman" w:cs="Times New Roman"/>
        </w:rPr>
        <w:t xml:space="preserve">did not consider the functional needs of inhabitants in the ways that the dominant </w:t>
      </w:r>
      <w:r w:rsidR="007148AE">
        <w:rPr>
          <w:rFonts w:ascii="Times New Roman" w:hAnsi="Times New Roman" w:cs="Times New Roman"/>
        </w:rPr>
        <w:t xml:space="preserve">modernist </w:t>
      </w:r>
      <w:r w:rsidR="00822FCD">
        <w:rPr>
          <w:rFonts w:ascii="Times New Roman" w:hAnsi="Times New Roman" w:cs="Times New Roman"/>
        </w:rPr>
        <w:t xml:space="preserve">design </w:t>
      </w:r>
      <w:r w:rsidR="00822FCD">
        <w:rPr>
          <w:rFonts w:ascii="Times New Roman" w:hAnsi="Times New Roman" w:cs="Times New Roman"/>
        </w:rPr>
        <w:lastRenderedPageBreak/>
        <w:t>philosophies</w:t>
      </w:r>
      <w:r w:rsidR="007148AE">
        <w:rPr>
          <w:rFonts w:ascii="Times New Roman" w:hAnsi="Times New Roman" w:cs="Times New Roman"/>
        </w:rPr>
        <w:t xml:space="preserve"> of the period</w:t>
      </w:r>
      <w:r w:rsidR="001D25B1">
        <w:rPr>
          <w:rFonts w:ascii="Times New Roman" w:hAnsi="Times New Roman" w:cs="Times New Roman"/>
        </w:rPr>
        <w:t xml:space="preserve"> –</w:t>
      </w:r>
      <w:r w:rsidR="007148AE">
        <w:rPr>
          <w:rFonts w:ascii="Times New Roman" w:hAnsi="Times New Roman" w:cs="Times New Roman"/>
        </w:rPr>
        <w:t xml:space="preserve"> emanating from</w:t>
      </w:r>
      <w:r w:rsidR="001D25B1">
        <w:rPr>
          <w:rFonts w:ascii="Times New Roman" w:hAnsi="Times New Roman" w:cs="Times New Roman"/>
        </w:rPr>
        <w:t xml:space="preserve"> organisations CIAM and the MARS –</w:t>
      </w:r>
      <w:r w:rsidR="00822FCD">
        <w:rPr>
          <w:rFonts w:ascii="Times New Roman" w:hAnsi="Times New Roman" w:cs="Times New Roman"/>
        </w:rPr>
        <w:t xml:space="preserve"> did.</w:t>
      </w:r>
      <w:r w:rsidR="007148AE">
        <w:rPr>
          <w:rStyle w:val="FootnoteReference"/>
          <w:rFonts w:ascii="Times New Roman" w:hAnsi="Times New Roman" w:cs="Times New Roman"/>
        </w:rPr>
        <w:footnoteReference w:id="23"/>
      </w:r>
      <w:r w:rsidR="001D25B1">
        <w:rPr>
          <w:rFonts w:ascii="Times New Roman" w:hAnsi="Times New Roman" w:cs="Times New Roman"/>
        </w:rPr>
        <w:t xml:space="preserve"> However, this did</w:t>
      </w:r>
      <w:r w:rsidR="00822FCD">
        <w:rPr>
          <w:rFonts w:ascii="Times New Roman" w:hAnsi="Times New Roman" w:cs="Times New Roman"/>
        </w:rPr>
        <w:t xml:space="preserve"> not mean that the designs were not centred on the experience of inhabitants</w:t>
      </w:r>
      <w:r w:rsidR="002A22D3">
        <w:rPr>
          <w:rFonts w:ascii="Times New Roman" w:hAnsi="Times New Roman" w:cs="Times New Roman"/>
        </w:rPr>
        <w:t>, indeed the aesthetic appearance of the town was intrinsic to the ability of the space to produce a beneficial civic response</w:t>
      </w:r>
      <w:r w:rsidR="00822FCD">
        <w:rPr>
          <w:rFonts w:ascii="Times New Roman" w:hAnsi="Times New Roman" w:cs="Times New Roman"/>
        </w:rPr>
        <w:t xml:space="preserve">. Instead of organisation and basic function, </w:t>
      </w:r>
      <w:proofErr w:type="spellStart"/>
      <w:r w:rsidR="00822FCD">
        <w:rPr>
          <w:rFonts w:ascii="Times New Roman" w:hAnsi="Times New Roman" w:cs="Times New Roman"/>
        </w:rPr>
        <w:t>Gibberd’s</w:t>
      </w:r>
      <w:proofErr w:type="spellEnd"/>
      <w:r w:rsidR="00822FCD">
        <w:rPr>
          <w:rFonts w:ascii="Times New Roman" w:hAnsi="Times New Roman" w:cs="Times New Roman"/>
        </w:rPr>
        <w:t xml:space="preserve"> designs were </w:t>
      </w:r>
      <w:r w:rsidR="001D25B1">
        <w:rPr>
          <w:rFonts w:ascii="Times New Roman" w:hAnsi="Times New Roman" w:cs="Times New Roman"/>
        </w:rPr>
        <w:t xml:space="preserve">instead </w:t>
      </w:r>
      <w:r w:rsidR="00822FCD">
        <w:rPr>
          <w:rFonts w:ascii="Times New Roman" w:hAnsi="Times New Roman" w:cs="Times New Roman"/>
        </w:rPr>
        <w:t>an attempt to fulfil the ‘psychological needs of the people in the aftermath of war, striving for an English version of modern architecture…[to] promote cultural continuity and cultural development’.</w:t>
      </w:r>
      <w:r w:rsidR="00822FCD">
        <w:rPr>
          <w:rStyle w:val="FootnoteReference"/>
          <w:rFonts w:ascii="Times New Roman" w:hAnsi="Times New Roman" w:cs="Times New Roman"/>
        </w:rPr>
        <w:footnoteReference w:id="24"/>
      </w:r>
      <w:r w:rsidR="007148AE">
        <w:rPr>
          <w:rFonts w:ascii="Times New Roman" w:hAnsi="Times New Roman" w:cs="Times New Roman"/>
        </w:rPr>
        <w:t xml:space="preserve"> This emphasis on the notion that there was a distinctly English aesthetic, has recently been echoed in Lauren Pikó’s work on Milton Keynes</w:t>
      </w:r>
      <w:r w:rsidR="002A22D3">
        <w:rPr>
          <w:rFonts w:ascii="Times New Roman" w:hAnsi="Times New Roman" w:cs="Times New Roman"/>
        </w:rPr>
        <w:t>.</w:t>
      </w:r>
      <w:r w:rsidR="007148AE">
        <w:rPr>
          <w:rFonts w:ascii="Times New Roman" w:hAnsi="Times New Roman" w:cs="Times New Roman"/>
        </w:rPr>
        <w:t xml:space="preserve"> </w:t>
      </w:r>
      <w:r w:rsidR="002A22D3">
        <w:rPr>
          <w:rFonts w:ascii="Times New Roman" w:hAnsi="Times New Roman" w:cs="Times New Roman"/>
        </w:rPr>
        <w:t xml:space="preserve">In this, Pikó </w:t>
      </w:r>
      <w:r w:rsidR="007148AE">
        <w:rPr>
          <w:rFonts w:ascii="Times New Roman" w:hAnsi="Times New Roman" w:cs="Times New Roman"/>
        </w:rPr>
        <w:t xml:space="preserve">shows that North Buckinghamshire’s most famous new town was, in part, derided because its version of modernism was so antagonistic to the ideas of English vernacular styles and thus the very notion of Englishness during </w:t>
      </w:r>
      <w:r w:rsidR="001D25B1">
        <w:rPr>
          <w:rFonts w:ascii="Times New Roman" w:hAnsi="Times New Roman" w:cs="Times New Roman"/>
        </w:rPr>
        <w:t xml:space="preserve">a period inflected with anxieties concerning imperial </w:t>
      </w:r>
      <w:r w:rsidR="007148AE">
        <w:rPr>
          <w:rFonts w:ascii="Times New Roman" w:hAnsi="Times New Roman" w:cs="Times New Roman"/>
        </w:rPr>
        <w:t>British decline.</w:t>
      </w:r>
      <w:r w:rsidR="007148AE">
        <w:rPr>
          <w:rStyle w:val="FootnoteReference"/>
          <w:rFonts w:ascii="Times New Roman" w:hAnsi="Times New Roman" w:cs="Times New Roman"/>
        </w:rPr>
        <w:footnoteReference w:id="25"/>
      </w:r>
      <w:r w:rsidR="007148AE">
        <w:rPr>
          <w:rFonts w:ascii="Times New Roman" w:hAnsi="Times New Roman" w:cs="Times New Roman"/>
        </w:rPr>
        <w:t xml:space="preserve"> </w:t>
      </w:r>
    </w:p>
    <w:p w14:paraId="2C7C92E6" w14:textId="01E1AAA1" w:rsidR="00484C68" w:rsidRPr="005E4A3E" w:rsidRDefault="005E4A3E" w:rsidP="00732322">
      <w:pPr>
        <w:spacing w:line="480" w:lineRule="auto"/>
        <w:jc w:val="both"/>
        <w:rPr>
          <w:rFonts w:ascii="Times New Roman" w:hAnsi="Times New Roman" w:cs="Times New Roman"/>
        </w:rPr>
      </w:pPr>
      <w:r w:rsidRPr="005E4A3E">
        <w:rPr>
          <w:rFonts w:ascii="Times New Roman" w:hAnsi="Times New Roman" w:cs="Times New Roman"/>
        </w:rPr>
        <w:tab/>
      </w:r>
      <w:r w:rsidR="00214743" w:rsidRPr="005E4A3E">
        <w:rPr>
          <w:rFonts w:ascii="Times New Roman" w:hAnsi="Times New Roman" w:cs="Times New Roman"/>
        </w:rPr>
        <w:t>Mass</w:t>
      </w:r>
      <w:r w:rsidR="002A22D3">
        <w:rPr>
          <w:rFonts w:ascii="Times New Roman" w:hAnsi="Times New Roman" w:cs="Times New Roman"/>
        </w:rPr>
        <w:t>, nevertheless,</w:t>
      </w:r>
      <w:r w:rsidR="00214743" w:rsidRPr="005E4A3E">
        <w:rPr>
          <w:rFonts w:ascii="Times New Roman" w:hAnsi="Times New Roman" w:cs="Times New Roman"/>
        </w:rPr>
        <w:t xml:space="preserve"> sees the</w:t>
      </w:r>
      <w:r w:rsidR="00F019E6" w:rsidRPr="005E4A3E">
        <w:rPr>
          <w:rFonts w:ascii="Times New Roman" w:hAnsi="Times New Roman" w:cs="Times New Roman"/>
        </w:rPr>
        <w:t xml:space="preserve"> </w:t>
      </w:r>
      <w:r w:rsidR="00214743" w:rsidRPr="005E4A3E">
        <w:rPr>
          <w:rFonts w:ascii="Times New Roman" w:hAnsi="Times New Roman" w:cs="Times New Roman"/>
        </w:rPr>
        <w:t>incorporation</w:t>
      </w:r>
      <w:r w:rsidR="00F019E6" w:rsidRPr="005E4A3E">
        <w:rPr>
          <w:rFonts w:ascii="Times New Roman" w:hAnsi="Times New Roman" w:cs="Times New Roman"/>
        </w:rPr>
        <w:t xml:space="preserve"> of the market within designs for redevelopment and renewal as a ‘buckling of top-down planning ideas’ against </w:t>
      </w:r>
      <w:r w:rsidR="00214743" w:rsidRPr="005E4A3E">
        <w:rPr>
          <w:rFonts w:ascii="Times New Roman" w:hAnsi="Times New Roman" w:cs="Times New Roman"/>
        </w:rPr>
        <w:t>a bulwark formed from the</w:t>
      </w:r>
      <w:r w:rsidR="00F019E6" w:rsidRPr="005E4A3E">
        <w:rPr>
          <w:rFonts w:ascii="Times New Roman" w:hAnsi="Times New Roman" w:cs="Times New Roman"/>
        </w:rPr>
        <w:t xml:space="preserve"> ‘intransigence of small-scale and informal shopping practices’</w:t>
      </w:r>
      <w:r w:rsidR="00214743" w:rsidRPr="005E4A3E">
        <w:rPr>
          <w:rFonts w:ascii="Times New Roman" w:hAnsi="Times New Roman" w:cs="Times New Roman"/>
        </w:rPr>
        <w:t xml:space="preserve">. </w:t>
      </w:r>
      <w:r w:rsidR="002A22D3">
        <w:rPr>
          <w:rFonts w:ascii="Times New Roman" w:hAnsi="Times New Roman" w:cs="Times New Roman"/>
        </w:rPr>
        <w:t xml:space="preserve">It is clear from Mass’ work that overly rigid forms of modernism did indeed flounder on just these types of challenges. </w:t>
      </w:r>
      <w:r w:rsidR="00214743" w:rsidRPr="005E4A3E">
        <w:rPr>
          <w:rFonts w:ascii="Times New Roman" w:hAnsi="Times New Roman" w:cs="Times New Roman"/>
        </w:rPr>
        <w:t>Yet, the study also</w:t>
      </w:r>
      <w:r w:rsidR="00F019E6" w:rsidRPr="005E4A3E">
        <w:rPr>
          <w:rFonts w:ascii="Times New Roman" w:hAnsi="Times New Roman" w:cs="Times New Roman"/>
        </w:rPr>
        <w:t xml:space="preserve"> evidences the increasingly sophisticated</w:t>
      </w:r>
      <w:r w:rsidR="009B17FD" w:rsidRPr="005E4A3E">
        <w:rPr>
          <w:rFonts w:ascii="Times New Roman" w:hAnsi="Times New Roman" w:cs="Times New Roman"/>
        </w:rPr>
        <w:t xml:space="preserve"> ways urban modernism</w:t>
      </w:r>
      <w:r w:rsidR="00FF162F" w:rsidRPr="005E4A3E">
        <w:rPr>
          <w:rFonts w:ascii="Times New Roman" w:hAnsi="Times New Roman" w:cs="Times New Roman"/>
        </w:rPr>
        <w:t xml:space="preserve"> and </w:t>
      </w:r>
      <w:r w:rsidR="009D3400" w:rsidRPr="005E4A3E">
        <w:rPr>
          <w:rFonts w:ascii="Times New Roman" w:hAnsi="Times New Roman" w:cs="Times New Roman"/>
        </w:rPr>
        <w:t>those who shaped planning policy</w:t>
      </w:r>
      <w:r w:rsidR="009B17FD" w:rsidRPr="005E4A3E">
        <w:rPr>
          <w:rFonts w:ascii="Times New Roman" w:hAnsi="Times New Roman" w:cs="Times New Roman"/>
        </w:rPr>
        <w:t xml:space="preserve"> saw the complexities of existing patterns of l</w:t>
      </w:r>
      <w:r w:rsidR="00183F14">
        <w:rPr>
          <w:rFonts w:ascii="Times New Roman" w:hAnsi="Times New Roman" w:cs="Times New Roman"/>
        </w:rPr>
        <w:t xml:space="preserve">ife, not as </w:t>
      </w:r>
      <w:r w:rsidR="000A6CD1">
        <w:rPr>
          <w:rFonts w:ascii="Times New Roman" w:hAnsi="Times New Roman" w:cs="Times New Roman"/>
        </w:rPr>
        <w:t xml:space="preserve">a </w:t>
      </w:r>
      <w:r w:rsidR="00183F14">
        <w:rPr>
          <w:rFonts w:ascii="Times New Roman" w:hAnsi="Times New Roman" w:cs="Times New Roman"/>
        </w:rPr>
        <w:t xml:space="preserve">challenge, but as something to be understood and shaped as a technique of </w:t>
      </w:r>
      <w:r w:rsidR="009B17FD" w:rsidRPr="005E4A3E">
        <w:rPr>
          <w:rFonts w:ascii="Times New Roman" w:hAnsi="Times New Roman" w:cs="Times New Roman"/>
        </w:rPr>
        <w:t>urban governance.</w:t>
      </w:r>
      <w:r w:rsidR="009B17FD" w:rsidRPr="005E4A3E">
        <w:rPr>
          <w:rStyle w:val="FootnoteReference"/>
          <w:rFonts w:ascii="Times New Roman" w:hAnsi="Times New Roman" w:cs="Times New Roman"/>
        </w:rPr>
        <w:footnoteReference w:id="26"/>
      </w:r>
      <w:r w:rsidR="009B17FD" w:rsidRPr="005E4A3E">
        <w:rPr>
          <w:rFonts w:ascii="Times New Roman" w:hAnsi="Times New Roman" w:cs="Times New Roman"/>
        </w:rPr>
        <w:t xml:space="preserve"> </w:t>
      </w:r>
      <w:r w:rsidR="000A6CD1">
        <w:rPr>
          <w:rFonts w:ascii="Times New Roman" w:hAnsi="Times New Roman" w:cs="Times New Roman"/>
        </w:rPr>
        <w:t>A</w:t>
      </w:r>
      <w:r w:rsidR="00183F14">
        <w:rPr>
          <w:rFonts w:ascii="Times New Roman" w:hAnsi="Times New Roman" w:cs="Times New Roman"/>
        </w:rPr>
        <w:t xml:space="preserve"> comparison of Mass and</w:t>
      </w:r>
      <w:r w:rsidR="002A22D3">
        <w:rPr>
          <w:rFonts w:ascii="Times New Roman" w:hAnsi="Times New Roman" w:cs="Times New Roman"/>
        </w:rPr>
        <w:t xml:space="preserve"> Manley’s work shows us that encoding tradition in </w:t>
      </w:r>
      <w:r w:rsidR="002A22D3">
        <w:rPr>
          <w:rFonts w:ascii="Times New Roman" w:hAnsi="Times New Roman" w:cs="Times New Roman"/>
        </w:rPr>
        <w:lastRenderedPageBreak/>
        <w:t xml:space="preserve">the built environment – either aesthetically or through the more prosaic spatial arrangement of the market place – was not antagonistic to the practice of urban modernism, but one more tool in a rather sophisticated tool box. </w:t>
      </w:r>
      <w:r w:rsidR="00214743" w:rsidRPr="005E4A3E">
        <w:rPr>
          <w:rFonts w:ascii="Times New Roman" w:hAnsi="Times New Roman" w:cs="Times New Roman"/>
        </w:rPr>
        <w:t>What makes</w:t>
      </w:r>
      <w:r w:rsidR="00183F14">
        <w:rPr>
          <w:rFonts w:ascii="Times New Roman" w:hAnsi="Times New Roman" w:cs="Times New Roman"/>
        </w:rPr>
        <w:t xml:space="preserve"> Mass’ conclusions</w:t>
      </w:r>
      <w:r w:rsidR="00214743" w:rsidRPr="005E4A3E">
        <w:rPr>
          <w:rFonts w:ascii="Times New Roman" w:hAnsi="Times New Roman" w:cs="Times New Roman"/>
        </w:rPr>
        <w:t xml:space="preserve"> i</w:t>
      </w:r>
      <w:r w:rsidR="00DA0C65" w:rsidRPr="005E4A3E">
        <w:rPr>
          <w:rFonts w:ascii="Times New Roman" w:hAnsi="Times New Roman" w:cs="Times New Roman"/>
        </w:rPr>
        <w:t>mportant for wider histories of post-war Britain</w:t>
      </w:r>
      <w:r w:rsidR="00101B51" w:rsidRPr="005E4A3E">
        <w:rPr>
          <w:rFonts w:ascii="Times New Roman" w:hAnsi="Times New Roman" w:cs="Times New Roman"/>
        </w:rPr>
        <w:t xml:space="preserve"> is the </w:t>
      </w:r>
      <w:r w:rsidR="000C59EB" w:rsidRPr="005E4A3E">
        <w:rPr>
          <w:rFonts w:ascii="Times New Roman" w:hAnsi="Times New Roman" w:cs="Times New Roman"/>
        </w:rPr>
        <w:t xml:space="preserve">way that </w:t>
      </w:r>
      <w:r w:rsidR="00DA0C65" w:rsidRPr="005E4A3E">
        <w:rPr>
          <w:rFonts w:ascii="Times New Roman" w:hAnsi="Times New Roman" w:cs="Times New Roman"/>
        </w:rPr>
        <w:t>her</w:t>
      </w:r>
      <w:r w:rsidR="00101B51" w:rsidRPr="005E4A3E">
        <w:rPr>
          <w:rFonts w:ascii="Times New Roman" w:hAnsi="Times New Roman" w:cs="Times New Roman"/>
        </w:rPr>
        <w:t xml:space="preserve"> case-studies of the interactions between ordinary citizen</w:t>
      </w:r>
      <w:r w:rsidR="000A6CD1">
        <w:rPr>
          <w:rFonts w:ascii="Times New Roman" w:hAnsi="Times New Roman" w:cs="Times New Roman"/>
        </w:rPr>
        <w:t>s</w:t>
      </w:r>
      <w:r w:rsidR="00101B51" w:rsidRPr="005E4A3E">
        <w:rPr>
          <w:rFonts w:ascii="Times New Roman" w:hAnsi="Times New Roman" w:cs="Times New Roman"/>
        </w:rPr>
        <w:t>’ practices, planning and state regulation, and localised retail traditions</w:t>
      </w:r>
      <w:r w:rsidR="00183F14">
        <w:rPr>
          <w:rFonts w:ascii="Times New Roman" w:hAnsi="Times New Roman" w:cs="Times New Roman"/>
        </w:rPr>
        <w:t xml:space="preserve"> also</w:t>
      </w:r>
      <w:r w:rsidR="00DA0C65" w:rsidRPr="005E4A3E">
        <w:rPr>
          <w:rFonts w:ascii="Times New Roman" w:hAnsi="Times New Roman" w:cs="Times New Roman"/>
        </w:rPr>
        <w:t xml:space="preserve"> bring</w:t>
      </w:r>
      <w:r w:rsidR="0020447D" w:rsidRPr="005E4A3E">
        <w:rPr>
          <w:rFonts w:ascii="Times New Roman" w:hAnsi="Times New Roman" w:cs="Times New Roman"/>
        </w:rPr>
        <w:t xml:space="preserve"> practices inscribed in </w:t>
      </w:r>
      <w:r w:rsidR="00DA2A26" w:rsidRPr="005E4A3E">
        <w:rPr>
          <w:rFonts w:ascii="Times New Roman" w:hAnsi="Times New Roman" w:cs="Times New Roman"/>
        </w:rPr>
        <w:t xml:space="preserve">space to the fore in discussions of consumerism and affluence. Just </w:t>
      </w:r>
      <w:r w:rsidR="009D3400" w:rsidRPr="005E4A3E">
        <w:rPr>
          <w:rFonts w:ascii="Times New Roman" w:hAnsi="Times New Roman" w:cs="Times New Roman"/>
        </w:rPr>
        <w:t xml:space="preserve">as Ina </w:t>
      </w:r>
      <w:r w:rsidR="00DA2A26" w:rsidRPr="005E4A3E">
        <w:rPr>
          <w:rFonts w:ascii="Times New Roman" w:hAnsi="Times New Roman" w:cs="Times New Roman"/>
        </w:rPr>
        <w:t>Zweini</w:t>
      </w:r>
      <w:r w:rsidR="009D3400" w:rsidRPr="005E4A3E">
        <w:rPr>
          <w:rFonts w:ascii="Times New Roman" w:hAnsi="Times New Roman" w:cs="Times New Roman"/>
        </w:rPr>
        <w:t>ge</w:t>
      </w:r>
      <w:r w:rsidR="00DA2A26" w:rsidRPr="005E4A3E">
        <w:rPr>
          <w:rFonts w:ascii="Times New Roman" w:hAnsi="Times New Roman" w:cs="Times New Roman"/>
        </w:rPr>
        <w:t>r-</w:t>
      </w:r>
      <w:r w:rsidR="009D3400" w:rsidRPr="005E4A3E">
        <w:rPr>
          <w:rFonts w:ascii="Times New Roman" w:hAnsi="Times New Roman" w:cs="Times New Roman"/>
        </w:rPr>
        <w:t>Bargielowska has</w:t>
      </w:r>
      <w:r w:rsidR="00DA2A26" w:rsidRPr="005E4A3E">
        <w:rPr>
          <w:rFonts w:ascii="Times New Roman" w:hAnsi="Times New Roman" w:cs="Times New Roman"/>
        </w:rPr>
        <w:t xml:space="preserve"> </w:t>
      </w:r>
      <w:r w:rsidR="009D3400" w:rsidRPr="005E4A3E">
        <w:rPr>
          <w:rFonts w:ascii="Times New Roman" w:hAnsi="Times New Roman" w:cs="Times New Roman"/>
        </w:rPr>
        <w:t xml:space="preserve">demonstrated </w:t>
      </w:r>
      <w:r w:rsidR="00DA2A26" w:rsidRPr="005E4A3E">
        <w:rPr>
          <w:rFonts w:ascii="Times New Roman" w:hAnsi="Times New Roman" w:cs="Times New Roman"/>
        </w:rPr>
        <w:t xml:space="preserve">in relation to post-war rationing, ordinary people’s retail preferences were detailed, idiosyncratic and, here, were a </w:t>
      </w:r>
      <w:r w:rsidR="00DA0C65" w:rsidRPr="005E4A3E">
        <w:rPr>
          <w:rFonts w:ascii="Times New Roman" w:hAnsi="Times New Roman" w:cs="Times New Roman"/>
        </w:rPr>
        <w:t xml:space="preserve">potentially </w:t>
      </w:r>
      <w:r w:rsidR="00DA2A26" w:rsidRPr="005E4A3E">
        <w:rPr>
          <w:rFonts w:ascii="Times New Roman" w:hAnsi="Times New Roman" w:cs="Times New Roman"/>
        </w:rPr>
        <w:t>destabilising element in planned environments.</w:t>
      </w:r>
      <w:r w:rsidR="00DA2A26" w:rsidRPr="005E4A3E">
        <w:rPr>
          <w:rStyle w:val="FootnoteReference"/>
          <w:rFonts w:ascii="Times New Roman" w:hAnsi="Times New Roman" w:cs="Times New Roman"/>
        </w:rPr>
        <w:footnoteReference w:id="27"/>
      </w:r>
      <w:r w:rsidR="00DA2A26" w:rsidRPr="005E4A3E">
        <w:rPr>
          <w:rFonts w:ascii="Times New Roman" w:hAnsi="Times New Roman" w:cs="Times New Roman"/>
        </w:rPr>
        <w:t xml:space="preserve"> Mass’ exploration of</w:t>
      </w:r>
      <w:r w:rsidR="00183F14">
        <w:rPr>
          <w:rFonts w:ascii="Times New Roman" w:hAnsi="Times New Roman" w:cs="Times New Roman"/>
        </w:rPr>
        <w:t xml:space="preserve"> how planners sought to shape</w:t>
      </w:r>
      <w:r w:rsidR="00DA2A26" w:rsidRPr="005E4A3E">
        <w:rPr>
          <w:rFonts w:ascii="Times New Roman" w:hAnsi="Times New Roman" w:cs="Times New Roman"/>
        </w:rPr>
        <w:t xml:space="preserve"> </w:t>
      </w:r>
      <w:r w:rsidR="00820DCC" w:rsidRPr="005E4A3E">
        <w:rPr>
          <w:rFonts w:ascii="Times New Roman" w:hAnsi="Times New Roman" w:cs="Times New Roman"/>
        </w:rPr>
        <w:t>sites of consumption</w:t>
      </w:r>
      <w:r w:rsidR="00183F14">
        <w:rPr>
          <w:rFonts w:ascii="Times New Roman" w:hAnsi="Times New Roman" w:cs="Times New Roman"/>
        </w:rPr>
        <w:t>, whilst</w:t>
      </w:r>
      <w:r w:rsidR="00566917" w:rsidRPr="005E4A3E">
        <w:rPr>
          <w:rFonts w:ascii="Times New Roman" w:hAnsi="Times New Roman" w:cs="Times New Roman"/>
        </w:rPr>
        <w:t xml:space="preserve"> simultaneously </w:t>
      </w:r>
      <w:r w:rsidR="00183F14">
        <w:rPr>
          <w:rFonts w:ascii="Times New Roman" w:hAnsi="Times New Roman" w:cs="Times New Roman"/>
        </w:rPr>
        <w:t xml:space="preserve">understanding them as </w:t>
      </w:r>
      <w:r w:rsidR="00566917" w:rsidRPr="005E4A3E">
        <w:rPr>
          <w:rFonts w:ascii="Times New Roman" w:hAnsi="Times New Roman" w:cs="Times New Roman"/>
        </w:rPr>
        <w:t xml:space="preserve">sites of identity, family and tradition </w:t>
      </w:r>
      <w:r w:rsidR="00820DCC" w:rsidRPr="005E4A3E">
        <w:rPr>
          <w:rFonts w:ascii="Times New Roman" w:hAnsi="Times New Roman" w:cs="Times New Roman"/>
        </w:rPr>
        <w:t>here reminds us</w:t>
      </w:r>
      <w:r w:rsidR="00566917" w:rsidRPr="005E4A3E">
        <w:rPr>
          <w:rFonts w:ascii="Times New Roman" w:hAnsi="Times New Roman" w:cs="Times New Roman"/>
        </w:rPr>
        <w:t xml:space="preserve"> of </w:t>
      </w:r>
      <w:r w:rsidR="00B90A64" w:rsidRPr="005E4A3E">
        <w:rPr>
          <w:rFonts w:ascii="Times New Roman" w:hAnsi="Times New Roman" w:cs="Times New Roman"/>
        </w:rPr>
        <w:t>Frank Trentman</w:t>
      </w:r>
      <w:r w:rsidR="003C103C">
        <w:rPr>
          <w:rFonts w:ascii="Times New Roman" w:hAnsi="Times New Roman" w:cs="Times New Roman"/>
        </w:rPr>
        <w:t>n</w:t>
      </w:r>
      <w:r w:rsidR="00B90A64" w:rsidRPr="005E4A3E">
        <w:rPr>
          <w:rFonts w:ascii="Times New Roman" w:hAnsi="Times New Roman" w:cs="Times New Roman"/>
        </w:rPr>
        <w:t>’s challenge to understand consumerism</w:t>
      </w:r>
      <w:r w:rsidR="00566917" w:rsidRPr="005E4A3E">
        <w:rPr>
          <w:rFonts w:ascii="Times New Roman" w:hAnsi="Times New Roman" w:cs="Times New Roman"/>
        </w:rPr>
        <w:t xml:space="preserve"> as it is woven into social structures, and points to the value o</w:t>
      </w:r>
      <w:r w:rsidR="00820DCC" w:rsidRPr="005E4A3E">
        <w:rPr>
          <w:rFonts w:ascii="Times New Roman" w:hAnsi="Times New Roman" w:cs="Times New Roman"/>
        </w:rPr>
        <w:t>f understanding consumer agency as it is</w:t>
      </w:r>
      <w:r w:rsidR="00566917" w:rsidRPr="005E4A3E">
        <w:rPr>
          <w:rFonts w:ascii="Times New Roman" w:hAnsi="Times New Roman" w:cs="Times New Roman"/>
        </w:rPr>
        <w:t xml:space="preserve"> bound up with ideas of space, citizenship and governmentality</w:t>
      </w:r>
      <w:r w:rsidR="00820DCC" w:rsidRPr="005E4A3E">
        <w:rPr>
          <w:rFonts w:ascii="Times New Roman" w:hAnsi="Times New Roman" w:cs="Times New Roman"/>
        </w:rPr>
        <w:t xml:space="preserve"> in any examination of post-war affluence</w:t>
      </w:r>
      <w:r w:rsidR="00B90A64" w:rsidRPr="005E4A3E">
        <w:rPr>
          <w:rFonts w:ascii="Times New Roman" w:hAnsi="Times New Roman" w:cs="Times New Roman"/>
        </w:rPr>
        <w:t>.</w:t>
      </w:r>
      <w:r w:rsidR="00B90A64" w:rsidRPr="005E4A3E">
        <w:rPr>
          <w:rStyle w:val="FootnoteReference"/>
          <w:rFonts w:ascii="Times New Roman" w:hAnsi="Times New Roman" w:cs="Times New Roman"/>
        </w:rPr>
        <w:footnoteReference w:id="28"/>
      </w:r>
    </w:p>
    <w:p w14:paraId="63424C78" w14:textId="17FD434B" w:rsidR="008B7BB4" w:rsidRDefault="003C103C" w:rsidP="00732322">
      <w:pPr>
        <w:spacing w:line="480" w:lineRule="auto"/>
        <w:jc w:val="both"/>
        <w:rPr>
          <w:rFonts w:ascii="Times New Roman" w:hAnsi="Times New Roman" w:cs="Times New Roman"/>
        </w:rPr>
      </w:pPr>
      <w:r>
        <w:rPr>
          <w:rFonts w:ascii="Times New Roman" w:hAnsi="Times New Roman" w:cs="Times New Roman"/>
        </w:rPr>
        <w:tab/>
      </w:r>
      <w:r w:rsidR="00566917" w:rsidRPr="005E4A3E">
        <w:rPr>
          <w:rFonts w:ascii="Times New Roman" w:hAnsi="Times New Roman" w:cs="Times New Roman"/>
        </w:rPr>
        <w:t>Mass’ attention to how ordinary lives and local hab</w:t>
      </w:r>
      <w:r w:rsidR="00484C68">
        <w:rPr>
          <w:rFonts w:ascii="Times New Roman" w:hAnsi="Times New Roman" w:cs="Times New Roman"/>
        </w:rPr>
        <w:t xml:space="preserve">its confounded and reshaped </w:t>
      </w:r>
      <w:r w:rsidR="00566917" w:rsidRPr="005E4A3E">
        <w:rPr>
          <w:rFonts w:ascii="Times New Roman" w:hAnsi="Times New Roman" w:cs="Times New Roman"/>
        </w:rPr>
        <w:t>planning schemes</w:t>
      </w:r>
      <w:r w:rsidR="00484C68">
        <w:rPr>
          <w:rFonts w:ascii="Times New Roman" w:hAnsi="Times New Roman" w:cs="Times New Roman"/>
        </w:rPr>
        <w:t xml:space="preserve"> that focused on too formalised an understanding of function, movement and the everyday</w:t>
      </w:r>
      <w:r w:rsidR="00566917" w:rsidRPr="005E4A3E">
        <w:rPr>
          <w:rFonts w:ascii="Times New Roman" w:hAnsi="Times New Roman" w:cs="Times New Roman"/>
        </w:rPr>
        <w:t xml:space="preserve"> is not an uncommon theme in the work on urban modernism</w:t>
      </w:r>
      <w:r w:rsidR="003C5339" w:rsidRPr="005E4A3E">
        <w:rPr>
          <w:rFonts w:ascii="Times New Roman" w:hAnsi="Times New Roman" w:cs="Times New Roman"/>
        </w:rPr>
        <w:t xml:space="preserve"> and this process is </w:t>
      </w:r>
      <w:r w:rsidR="00484C68">
        <w:rPr>
          <w:rFonts w:ascii="Times New Roman" w:hAnsi="Times New Roman" w:cs="Times New Roman"/>
        </w:rPr>
        <w:t xml:space="preserve">echoed in a number of other recent theses. In the first instance it is </w:t>
      </w:r>
      <w:r w:rsidR="003C5339" w:rsidRPr="005E4A3E">
        <w:rPr>
          <w:rFonts w:ascii="Times New Roman" w:hAnsi="Times New Roman" w:cs="Times New Roman"/>
        </w:rPr>
        <w:t>central to the work of another US-based scholar of post-war Britain, Jesse Meredith.</w:t>
      </w:r>
      <w:r w:rsidR="00566917" w:rsidRPr="005E4A3E">
        <w:rPr>
          <w:rStyle w:val="FootnoteReference"/>
          <w:rFonts w:ascii="Times New Roman" w:hAnsi="Times New Roman" w:cs="Times New Roman"/>
        </w:rPr>
        <w:footnoteReference w:id="29"/>
      </w:r>
      <w:r w:rsidR="00566917" w:rsidRPr="005E4A3E">
        <w:rPr>
          <w:rFonts w:ascii="Times New Roman" w:hAnsi="Times New Roman" w:cs="Times New Roman"/>
        </w:rPr>
        <w:t xml:space="preserve"> </w:t>
      </w:r>
      <w:r w:rsidR="009B17FD" w:rsidRPr="005E4A3E">
        <w:rPr>
          <w:rFonts w:ascii="Times New Roman" w:hAnsi="Times New Roman" w:cs="Times New Roman"/>
        </w:rPr>
        <w:t>Meredith’s thesis concerns urban re</w:t>
      </w:r>
      <w:r w:rsidR="00BF2974" w:rsidRPr="005E4A3E">
        <w:rPr>
          <w:rFonts w:ascii="Times New Roman" w:hAnsi="Times New Roman" w:cs="Times New Roman"/>
        </w:rPr>
        <w:t>newal between 1</w:t>
      </w:r>
      <w:r w:rsidR="00B25D2D" w:rsidRPr="005E4A3E">
        <w:rPr>
          <w:rFonts w:ascii="Times New Roman" w:hAnsi="Times New Roman" w:cs="Times New Roman"/>
        </w:rPr>
        <w:t xml:space="preserve">960 and 1985 </w:t>
      </w:r>
      <w:r w:rsidR="00820DCC" w:rsidRPr="005E4A3E">
        <w:rPr>
          <w:rFonts w:ascii="Times New Roman" w:hAnsi="Times New Roman" w:cs="Times New Roman"/>
        </w:rPr>
        <w:t xml:space="preserve">, taking as its case studies </w:t>
      </w:r>
      <w:r w:rsidR="005F7954" w:rsidRPr="005E4A3E">
        <w:rPr>
          <w:rFonts w:ascii="Times New Roman" w:hAnsi="Times New Roman" w:cs="Times New Roman"/>
        </w:rPr>
        <w:t>Liverpool and Newcastle,</w:t>
      </w:r>
      <w:r w:rsidR="00B25D2D" w:rsidRPr="005E4A3E">
        <w:rPr>
          <w:rFonts w:ascii="Times New Roman" w:hAnsi="Times New Roman" w:cs="Times New Roman"/>
        </w:rPr>
        <w:t xml:space="preserve"> cities that ‘perched themselves on the cutting ed</w:t>
      </w:r>
      <w:r w:rsidR="00820DCC" w:rsidRPr="005E4A3E">
        <w:rPr>
          <w:rFonts w:ascii="Times New Roman" w:hAnsi="Times New Roman" w:cs="Times New Roman"/>
        </w:rPr>
        <w:t>ge of modernist urban planning’.</w:t>
      </w:r>
      <w:r w:rsidR="00820DCC" w:rsidRPr="005E4A3E">
        <w:rPr>
          <w:rStyle w:val="FootnoteReference"/>
          <w:rFonts w:ascii="Times New Roman" w:hAnsi="Times New Roman" w:cs="Times New Roman"/>
        </w:rPr>
        <w:footnoteReference w:id="30"/>
      </w:r>
      <w:r w:rsidR="00820DCC" w:rsidRPr="005E4A3E">
        <w:rPr>
          <w:rFonts w:ascii="Times New Roman" w:hAnsi="Times New Roman" w:cs="Times New Roman"/>
        </w:rPr>
        <w:t xml:space="preserve"> </w:t>
      </w:r>
      <w:r w:rsidR="00F5618C" w:rsidRPr="005E4A3E">
        <w:rPr>
          <w:rFonts w:ascii="Times New Roman" w:hAnsi="Times New Roman" w:cs="Times New Roman"/>
        </w:rPr>
        <w:t xml:space="preserve">Meredith is </w:t>
      </w:r>
      <w:r w:rsidR="00F5618C" w:rsidRPr="005E4A3E">
        <w:rPr>
          <w:rFonts w:ascii="Times New Roman" w:hAnsi="Times New Roman" w:cs="Times New Roman"/>
        </w:rPr>
        <w:lastRenderedPageBreak/>
        <w:t>unflinchingly critical of what he sees as a post-war planning system that was enthralled with the master planner as both expert and father figure</w:t>
      </w:r>
      <w:r w:rsidR="004D6A58" w:rsidRPr="005E4A3E">
        <w:rPr>
          <w:rFonts w:ascii="Times New Roman" w:hAnsi="Times New Roman" w:cs="Times New Roman"/>
        </w:rPr>
        <w:t xml:space="preserve"> in what he neat</w:t>
      </w:r>
      <w:r w:rsidR="00F5618C" w:rsidRPr="005E4A3E">
        <w:rPr>
          <w:rFonts w:ascii="Times New Roman" w:hAnsi="Times New Roman" w:cs="Times New Roman"/>
        </w:rPr>
        <w:t>ly terms ‘the family romance of the modern British city.’</w:t>
      </w:r>
      <w:r w:rsidR="00F5618C" w:rsidRPr="005E4A3E">
        <w:rPr>
          <w:rStyle w:val="FootnoteReference"/>
          <w:rFonts w:ascii="Times New Roman" w:hAnsi="Times New Roman" w:cs="Times New Roman"/>
        </w:rPr>
        <w:footnoteReference w:id="31"/>
      </w:r>
      <w:r w:rsidR="00F5618C" w:rsidRPr="005E4A3E">
        <w:rPr>
          <w:rFonts w:ascii="Times New Roman" w:hAnsi="Times New Roman" w:cs="Times New Roman"/>
        </w:rPr>
        <w:t xml:space="preserve"> On </w:t>
      </w:r>
      <w:r w:rsidR="000A6CD1">
        <w:rPr>
          <w:rFonts w:ascii="Times New Roman" w:hAnsi="Times New Roman" w:cs="Times New Roman"/>
        </w:rPr>
        <w:t xml:space="preserve">the </w:t>
      </w:r>
      <w:r w:rsidR="00F5618C" w:rsidRPr="005E4A3E">
        <w:rPr>
          <w:rFonts w:ascii="Times New Roman" w:hAnsi="Times New Roman" w:cs="Times New Roman"/>
        </w:rPr>
        <w:t xml:space="preserve">one hand, echoing historians </w:t>
      </w:r>
      <w:r w:rsidR="00FB7F9C">
        <w:rPr>
          <w:rFonts w:ascii="Times New Roman" w:hAnsi="Times New Roman" w:cs="Times New Roman"/>
        </w:rPr>
        <w:t xml:space="preserve">who </w:t>
      </w:r>
      <w:r w:rsidR="00F5618C" w:rsidRPr="005E4A3E">
        <w:rPr>
          <w:rFonts w:ascii="Times New Roman" w:hAnsi="Times New Roman" w:cs="Times New Roman"/>
        </w:rPr>
        <w:t>have criticised urban modernism’s reliance on rigid statistical modelling</w:t>
      </w:r>
      <w:r w:rsidR="00FB7F9C">
        <w:rPr>
          <w:rFonts w:ascii="Times New Roman" w:hAnsi="Times New Roman" w:cs="Times New Roman"/>
        </w:rPr>
        <w:t xml:space="preserve"> over understanding ‘societal complexity’</w:t>
      </w:r>
      <w:r w:rsidR="00F5618C" w:rsidRPr="005E4A3E">
        <w:rPr>
          <w:rFonts w:ascii="Times New Roman" w:hAnsi="Times New Roman" w:cs="Times New Roman"/>
        </w:rPr>
        <w:t xml:space="preserve">, Meredith paints the familiar picture of </w:t>
      </w:r>
      <w:r w:rsidR="00444B00" w:rsidRPr="005E4A3E">
        <w:rPr>
          <w:rFonts w:ascii="Times New Roman" w:hAnsi="Times New Roman" w:cs="Times New Roman"/>
        </w:rPr>
        <w:t xml:space="preserve">community design </w:t>
      </w:r>
      <w:r w:rsidR="004D6A58" w:rsidRPr="005E4A3E">
        <w:rPr>
          <w:rFonts w:ascii="Times New Roman" w:hAnsi="Times New Roman" w:cs="Times New Roman"/>
        </w:rPr>
        <w:t>that was</w:t>
      </w:r>
      <w:r w:rsidR="00BF2974" w:rsidRPr="005E4A3E">
        <w:rPr>
          <w:rFonts w:ascii="Times New Roman" w:hAnsi="Times New Roman" w:cs="Times New Roman"/>
        </w:rPr>
        <w:t xml:space="preserve"> ill-</w:t>
      </w:r>
      <w:r w:rsidR="00444B00" w:rsidRPr="005E4A3E">
        <w:rPr>
          <w:rFonts w:ascii="Times New Roman" w:hAnsi="Times New Roman" w:cs="Times New Roman"/>
        </w:rPr>
        <w:t xml:space="preserve">suited to the ever-evolving </w:t>
      </w:r>
      <w:r w:rsidR="00F5618C" w:rsidRPr="005E4A3E">
        <w:rPr>
          <w:rFonts w:ascii="Times New Roman" w:hAnsi="Times New Roman" w:cs="Times New Roman"/>
        </w:rPr>
        <w:t>diversity of ordinary lives.</w:t>
      </w:r>
      <w:r w:rsidR="00F5618C" w:rsidRPr="005E4A3E">
        <w:rPr>
          <w:rStyle w:val="FootnoteReference"/>
          <w:rFonts w:ascii="Times New Roman" w:hAnsi="Times New Roman" w:cs="Times New Roman"/>
        </w:rPr>
        <w:footnoteReference w:id="32"/>
      </w:r>
      <w:r w:rsidR="00444B00" w:rsidRPr="005E4A3E">
        <w:rPr>
          <w:rFonts w:ascii="Times New Roman" w:hAnsi="Times New Roman" w:cs="Times New Roman"/>
        </w:rPr>
        <w:t xml:space="preserve"> On the other hand, he demonstrates that planners also </w:t>
      </w:r>
      <w:r w:rsidR="000A6CD1">
        <w:rPr>
          <w:rFonts w:ascii="Times New Roman" w:hAnsi="Times New Roman" w:cs="Times New Roman"/>
        </w:rPr>
        <w:t>laid claim</w:t>
      </w:r>
      <w:r w:rsidR="00444B00" w:rsidRPr="005E4A3E">
        <w:rPr>
          <w:rFonts w:ascii="Times New Roman" w:hAnsi="Times New Roman" w:cs="Times New Roman"/>
        </w:rPr>
        <w:t xml:space="preserve"> to a moral authority</w:t>
      </w:r>
      <w:r w:rsidR="00F5618C" w:rsidRPr="005E4A3E">
        <w:rPr>
          <w:rFonts w:ascii="Times New Roman" w:hAnsi="Times New Roman" w:cs="Times New Roman"/>
        </w:rPr>
        <w:t xml:space="preserve"> </w:t>
      </w:r>
      <w:r w:rsidR="00444B00" w:rsidRPr="005E4A3E">
        <w:rPr>
          <w:rFonts w:ascii="Times New Roman" w:hAnsi="Times New Roman" w:cs="Times New Roman"/>
        </w:rPr>
        <w:t>rooted in a much longer tradition of paternalism</w:t>
      </w:r>
      <w:r w:rsidR="005F7954" w:rsidRPr="005E4A3E">
        <w:rPr>
          <w:rFonts w:ascii="Times New Roman" w:hAnsi="Times New Roman" w:cs="Times New Roman"/>
        </w:rPr>
        <w:t xml:space="preserve">, a position that </w:t>
      </w:r>
      <w:r w:rsidR="004843F6" w:rsidRPr="005E4A3E">
        <w:rPr>
          <w:rFonts w:ascii="Times New Roman" w:hAnsi="Times New Roman" w:cs="Times New Roman"/>
        </w:rPr>
        <w:t xml:space="preserve">grew </w:t>
      </w:r>
      <w:r w:rsidR="005F7954" w:rsidRPr="005E4A3E">
        <w:rPr>
          <w:rFonts w:ascii="Times New Roman" w:hAnsi="Times New Roman" w:cs="Times New Roman"/>
        </w:rPr>
        <w:t>increasingly unsustainable during the 1970s</w:t>
      </w:r>
      <w:r w:rsidR="00444B00" w:rsidRPr="005E4A3E">
        <w:rPr>
          <w:rFonts w:ascii="Times New Roman" w:hAnsi="Times New Roman" w:cs="Times New Roman"/>
        </w:rPr>
        <w:t xml:space="preserve">. These positions of power were, we are shown, eroded by popular individualism, a collapse in deference, </w:t>
      </w:r>
      <w:r w:rsidR="005F7954" w:rsidRPr="005E4A3E">
        <w:rPr>
          <w:rFonts w:ascii="Times New Roman" w:hAnsi="Times New Roman" w:cs="Times New Roman"/>
        </w:rPr>
        <w:t xml:space="preserve">but most importantly, by the simple fact that planners’ visions of a humane and ordered city did not align with those </w:t>
      </w:r>
      <w:r w:rsidR="000A6CD1">
        <w:rPr>
          <w:rFonts w:ascii="Times New Roman" w:hAnsi="Times New Roman" w:cs="Times New Roman"/>
        </w:rPr>
        <w:t>for whom they</w:t>
      </w:r>
      <w:r w:rsidR="005F7954" w:rsidRPr="005E4A3E">
        <w:rPr>
          <w:rFonts w:ascii="Times New Roman" w:hAnsi="Times New Roman" w:cs="Times New Roman"/>
        </w:rPr>
        <w:t xml:space="preserve"> planned. </w:t>
      </w:r>
      <w:r w:rsidR="004D6A58" w:rsidRPr="005E4A3E">
        <w:rPr>
          <w:rFonts w:ascii="Times New Roman" w:hAnsi="Times New Roman" w:cs="Times New Roman"/>
        </w:rPr>
        <w:t xml:space="preserve">What is most pleasing about this work are two elements: first, that British planning is shown here in an international, post-colonial context, </w:t>
      </w:r>
      <w:r w:rsidR="00475C36" w:rsidRPr="005E4A3E">
        <w:rPr>
          <w:rFonts w:ascii="Times New Roman" w:hAnsi="Times New Roman" w:cs="Times New Roman"/>
        </w:rPr>
        <w:t>emphasising</w:t>
      </w:r>
      <w:r w:rsidR="004D6A58" w:rsidRPr="005E4A3E">
        <w:rPr>
          <w:rFonts w:ascii="Times New Roman" w:hAnsi="Times New Roman" w:cs="Times New Roman"/>
        </w:rPr>
        <w:t xml:space="preserve"> the links between planning in </w:t>
      </w:r>
      <w:r w:rsidR="00475C36" w:rsidRPr="005E4A3E">
        <w:rPr>
          <w:rFonts w:ascii="Times New Roman" w:hAnsi="Times New Roman" w:cs="Times New Roman"/>
        </w:rPr>
        <w:t>Britain</w:t>
      </w:r>
      <w:r w:rsidR="004D6A58" w:rsidRPr="005E4A3E">
        <w:rPr>
          <w:rFonts w:ascii="Times New Roman" w:hAnsi="Times New Roman" w:cs="Times New Roman"/>
        </w:rPr>
        <w:t xml:space="preserve"> with the experience of planners in the former colonies. The second is that Meredith’s cultural approach allows us to see the romanticism, idealism and</w:t>
      </w:r>
      <w:r w:rsidR="00E248DC" w:rsidRPr="005E4A3E">
        <w:rPr>
          <w:rFonts w:ascii="Times New Roman" w:hAnsi="Times New Roman" w:cs="Times New Roman"/>
        </w:rPr>
        <w:t xml:space="preserve"> emotion that often infused planners’ ideas. How citizens</w:t>
      </w:r>
      <w:r w:rsidR="000A6CD1">
        <w:rPr>
          <w:rFonts w:ascii="Times New Roman" w:hAnsi="Times New Roman" w:cs="Times New Roman"/>
        </w:rPr>
        <w:t>’</w:t>
      </w:r>
      <w:r w:rsidR="00E248DC" w:rsidRPr="005E4A3E">
        <w:rPr>
          <w:rFonts w:ascii="Times New Roman" w:hAnsi="Times New Roman" w:cs="Times New Roman"/>
        </w:rPr>
        <w:t xml:space="preserve"> experience was understood as a tool of urban governance at a more emotional level is sadly absent from much of the scholarship on urban modernism and here Meredith points to the importance of this fundamental, yet overlook</w:t>
      </w:r>
      <w:r w:rsidR="00FB7F9C">
        <w:rPr>
          <w:rFonts w:ascii="Times New Roman" w:hAnsi="Times New Roman" w:cs="Times New Roman"/>
        </w:rPr>
        <w:t>ed</w:t>
      </w:r>
      <w:r w:rsidR="00E248DC" w:rsidRPr="005E4A3E">
        <w:rPr>
          <w:rFonts w:ascii="Times New Roman" w:hAnsi="Times New Roman" w:cs="Times New Roman"/>
        </w:rPr>
        <w:t xml:space="preserve"> element of planning.</w:t>
      </w:r>
      <w:r w:rsidR="004D6A58" w:rsidRPr="005E4A3E">
        <w:rPr>
          <w:rFonts w:ascii="Times New Roman" w:hAnsi="Times New Roman" w:cs="Times New Roman"/>
        </w:rPr>
        <w:t xml:space="preserve"> </w:t>
      </w:r>
      <w:r w:rsidR="004843F6" w:rsidRPr="005E4A3E">
        <w:rPr>
          <w:rFonts w:ascii="Times New Roman" w:hAnsi="Times New Roman" w:cs="Times New Roman"/>
        </w:rPr>
        <w:t xml:space="preserve">Energetic examinations of the adoption of community architecture approaches in Newcastle demonstrate that even when </w:t>
      </w:r>
      <w:r w:rsidR="004D6A58" w:rsidRPr="005E4A3E">
        <w:rPr>
          <w:rFonts w:ascii="Times New Roman" w:hAnsi="Times New Roman" w:cs="Times New Roman"/>
        </w:rPr>
        <w:t>planners tried to move away from monolithic, top down design solutions, they often succumbed to the impulse to impose ideas upon rather than merely advise local inhabitants. What Meredith shows us, through illuminating cultural hi</w:t>
      </w:r>
      <w:r w:rsidR="00F256DC" w:rsidRPr="005E4A3E">
        <w:rPr>
          <w:rFonts w:ascii="Times New Roman" w:hAnsi="Times New Roman" w:cs="Times New Roman"/>
        </w:rPr>
        <w:t>stories of places like Killingw</w:t>
      </w:r>
      <w:r w:rsidR="004D6A58" w:rsidRPr="005E4A3E">
        <w:rPr>
          <w:rFonts w:ascii="Times New Roman" w:hAnsi="Times New Roman" w:cs="Times New Roman"/>
        </w:rPr>
        <w:t>o</w:t>
      </w:r>
      <w:r w:rsidR="00F256DC" w:rsidRPr="005E4A3E">
        <w:rPr>
          <w:rFonts w:ascii="Times New Roman" w:hAnsi="Times New Roman" w:cs="Times New Roman"/>
        </w:rPr>
        <w:t>r</w:t>
      </w:r>
      <w:r w:rsidR="004D6A58" w:rsidRPr="005E4A3E">
        <w:rPr>
          <w:rFonts w:ascii="Times New Roman" w:hAnsi="Times New Roman" w:cs="Times New Roman"/>
        </w:rPr>
        <w:t xml:space="preserve">th and Byker, is that the planned-for </w:t>
      </w:r>
      <w:r w:rsidR="004D6A58" w:rsidRPr="005E4A3E">
        <w:rPr>
          <w:rFonts w:ascii="Times New Roman" w:hAnsi="Times New Roman" w:cs="Times New Roman"/>
        </w:rPr>
        <w:lastRenderedPageBreak/>
        <w:t xml:space="preserve">exerted an influence over the planning process in a multiplicity of ways that more top-down studies have ignored. </w:t>
      </w:r>
    </w:p>
    <w:p w14:paraId="46DB85F3" w14:textId="4D301CDD" w:rsidR="008D5BEA" w:rsidRDefault="008D5BEA" w:rsidP="00732322">
      <w:pPr>
        <w:spacing w:line="480" w:lineRule="auto"/>
        <w:jc w:val="both"/>
        <w:rPr>
          <w:rFonts w:ascii="Times New Roman" w:hAnsi="Times New Roman" w:cs="Times New Roman"/>
        </w:rPr>
      </w:pPr>
      <w:r>
        <w:rPr>
          <w:rFonts w:ascii="Times New Roman" w:hAnsi="Times New Roman" w:cs="Times New Roman"/>
        </w:rPr>
        <w:tab/>
        <w:t>In a rather different way</w:t>
      </w:r>
      <w:r w:rsidR="00427D9E">
        <w:rPr>
          <w:rFonts w:ascii="Times New Roman" w:hAnsi="Times New Roman" w:cs="Times New Roman"/>
        </w:rPr>
        <w:t>,</w:t>
      </w:r>
      <w:r>
        <w:rPr>
          <w:rFonts w:ascii="Times New Roman" w:hAnsi="Times New Roman" w:cs="Times New Roman"/>
        </w:rPr>
        <w:t xml:space="preserve"> it was</w:t>
      </w:r>
      <w:r w:rsidR="00484C68">
        <w:rPr>
          <w:rFonts w:ascii="Times New Roman" w:hAnsi="Times New Roman" w:cs="Times New Roman"/>
        </w:rPr>
        <w:t xml:space="preserve"> the inability to account for the reality of </w:t>
      </w:r>
      <w:r>
        <w:rPr>
          <w:rFonts w:ascii="Times New Roman" w:hAnsi="Times New Roman" w:cs="Times New Roman"/>
        </w:rPr>
        <w:t>ordinary</w:t>
      </w:r>
      <w:r w:rsidR="00484C68">
        <w:rPr>
          <w:rFonts w:ascii="Times New Roman" w:hAnsi="Times New Roman" w:cs="Times New Roman"/>
        </w:rPr>
        <w:t xml:space="preserve"> lives that Matthew Parker’s study of the development of Birmingham </w:t>
      </w:r>
      <w:r>
        <w:rPr>
          <w:rFonts w:ascii="Times New Roman" w:hAnsi="Times New Roman" w:cs="Times New Roman"/>
        </w:rPr>
        <w:t>argues was fundamental in the failure to create a city of ‘mass automobility’.</w:t>
      </w:r>
      <w:r>
        <w:rPr>
          <w:rStyle w:val="FootnoteReference"/>
          <w:rFonts w:ascii="Times New Roman" w:hAnsi="Times New Roman" w:cs="Times New Roman"/>
        </w:rPr>
        <w:footnoteReference w:id="33"/>
      </w:r>
      <w:r>
        <w:rPr>
          <w:rFonts w:ascii="Times New Roman" w:hAnsi="Times New Roman" w:cs="Times New Roman"/>
        </w:rPr>
        <w:t xml:space="preserve"> </w:t>
      </w:r>
      <w:r w:rsidR="00362D01">
        <w:rPr>
          <w:rFonts w:ascii="Times New Roman" w:hAnsi="Times New Roman" w:cs="Times New Roman"/>
        </w:rPr>
        <w:t>Echoing recent studies that have shown how fundamental the car was to the development of British urban space, Parker tells us that between 1945 and 1973 Birmingham’s leaders embarked on a distinctly ideological attempt to plan the city as a motor city.</w:t>
      </w:r>
      <w:r w:rsidRPr="005E4A3E">
        <w:rPr>
          <w:rStyle w:val="FootnoteReference"/>
          <w:rFonts w:ascii="Times New Roman" w:hAnsi="Times New Roman" w:cs="Times New Roman"/>
        </w:rPr>
        <w:footnoteReference w:id="34"/>
      </w:r>
      <w:r w:rsidR="00362D01">
        <w:rPr>
          <w:rFonts w:ascii="Times New Roman" w:hAnsi="Times New Roman" w:cs="Times New Roman"/>
        </w:rPr>
        <w:t xml:space="preserve"> </w:t>
      </w:r>
      <w:r w:rsidR="00E15549">
        <w:rPr>
          <w:rFonts w:ascii="Times New Roman" w:hAnsi="Times New Roman" w:cs="Times New Roman"/>
        </w:rPr>
        <w:t>This</w:t>
      </w:r>
      <w:r w:rsidR="0018020B">
        <w:rPr>
          <w:rFonts w:ascii="Times New Roman" w:hAnsi="Times New Roman" w:cs="Times New Roman"/>
        </w:rPr>
        <w:t xml:space="preserve"> obsession, particularly from famed city engineer Herbert Manzoni, with a future that defined Birmingham as a motor city meant not just road building, but the </w:t>
      </w:r>
      <w:r w:rsidR="00E15549">
        <w:rPr>
          <w:rFonts w:ascii="Times New Roman" w:hAnsi="Times New Roman" w:cs="Times New Roman"/>
        </w:rPr>
        <w:t>subordination</w:t>
      </w:r>
      <w:r w:rsidR="005F2BD3">
        <w:rPr>
          <w:rFonts w:ascii="Times New Roman" w:hAnsi="Times New Roman" w:cs="Times New Roman"/>
        </w:rPr>
        <w:t xml:space="preserve"> </w:t>
      </w:r>
      <w:r w:rsidR="0018020B">
        <w:rPr>
          <w:rFonts w:ascii="Times New Roman" w:hAnsi="Times New Roman" w:cs="Times New Roman"/>
        </w:rPr>
        <w:t xml:space="preserve">of slum clearance, suburban development, industry and retail space </w:t>
      </w:r>
      <w:r w:rsidR="005F2BD3">
        <w:rPr>
          <w:rFonts w:ascii="Times New Roman" w:hAnsi="Times New Roman" w:cs="Times New Roman"/>
        </w:rPr>
        <w:t xml:space="preserve">to the </w:t>
      </w:r>
      <w:r w:rsidR="00E15549">
        <w:rPr>
          <w:rFonts w:ascii="Times New Roman" w:hAnsi="Times New Roman" w:cs="Times New Roman"/>
        </w:rPr>
        <w:t>needs</w:t>
      </w:r>
      <w:r w:rsidR="005F2BD3">
        <w:rPr>
          <w:rFonts w:ascii="Times New Roman" w:hAnsi="Times New Roman" w:cs="Times New Roman"/>
        </w:rPr>
        <w:t xml:space="preserve"> of</w:t>
      </w:r>
      <w:r w:rsidR="0018020B">
        <w:rPr>
          <w:rFonts w:ascii="Times New Roman" w:hAnsi="Times New Roman" w:cs="Times New Roman"/>
        </w:rPr>
        <w:t xml:space="preserve"> road transport development.</w:t>
      </w:r>
      <w:r w:rsidR="00427D9E">
        <w:rPr>
          <w:rFonts w:ascii="Times New Roman" w:hAnsi="Times New Roman" w:cs="Times New Roman"/>
        </w:rPr>
        <w:t xml:space="preserve"> Manzoni exemplified Meredith’s description of the</w:t>
      </w:r>
      <w:r w:rsidR="00E15549">
        <w:rPr>
          <w:rFonts w:ascii="Times New Roman" w:hAnsi="Times New Roman" w:cs="Times New Roman"/>
        </w:rPr>
        <w:t xml:space="preserve"> expert, paternalist planner, although even amongst this cohort his virtually ‘unchecked power’ was unusual.</w:t>
      </w:r>
      <w:r w:rsidR="00E15549">
        <w:rPr>
          <w:rStyle w:val="FootnoteReference"/>
          <w:rFonts w:ascii="Times New Roman" w:hAnsi="Times New Roman" w:cs="Times New Roman"/>
        </w:rPr>
        <w:footnoteReference w:id="35"/>
      </w:r>
      <w:r w:rsidR="00E15549">
        <w:rPr>
          <w:rFonts w:ascii="Times New Roman" w:hAnsi="Times New Roman" w:cs="Times New Roman"/>
        </w:rPr>
        <w:t xml:space="preserve"> Indeed, in viewing the flow and organisation of traffic as the central feature of urban life, Manzoni’s views of urban function sit diametrically opposite to the preservation of legibility of Gibberd and Smigielski described by Mass. Manzoni’s plans were not a response to increased car ownership, but an attempt to shape the future prosperity of the city around cultures of leisure, work and consumption that did not yet exist but were inextricably bound to automobility. </w:t>
      </w:r>
      <w:r w:rsidR="000D4337">
        <w:rPr>
          <w:rFonts w:ascii="Times New Roman" w:hAnsi="Times New Roman" w:cs="Times New Roman"/>
        </w:rPr>
        <w:t xml:space="preserve">In chapter three, particularly in discussions of shopping frontage, Parker </w:t>
      </w:r>
      <w:r w:rsidR="005F2BD3">
        <w:rPr>
          <w:rFonts w:ascii="Times New Roman" w:hAnsi="Times New Roman" w:cs="Times New Roman"/>
        </w:rPr>
        <w:t>hints at</w:t>
      </w:r>
      <w:r w:rsidR="000D4337">
        <w:rPr>
          <w:rFonts w:ascii="Times New Roman" w:hAnsi="Times New Roman" w:cs="Times New Roman"/>
        </w:rPr>
        <w:t xml:space="preserve"> the importance of retail and consumerism to the </w:t>
      </w:r>
      <w:r w:rsidR="00E15549">
        <w:rPr>
          <w:rFonts w:ascii="Times New Roman" w:hAnsi="Times New Roman" w:cs="Times New Roman"/>
        </w:rPr>
        <w:t xml:space="preserve">future of the </w:t>
      </w:r>
      <w:r w:rsidR="000D4337">
        <w:rPr>
          <w:rFonts w:ascii="Times New Roman" w:hAnsi="Times New Roman" w:cs="Times New Roman"/>
        </w:rPr>
        <w:t>motor city. The motor city was, we can see, not merely founded on a nebulous, fantastical commitment to a future of personal mobility, but</w:t>
      </w:r>
      <w:r w:rsidR="005F2BD3">
        <w:rPr>
          <w:rFonts w:ascii="Times New Roman" w:hAnsi="Times New Roman" w:cs="Times New Roman"/>
        </w:rPr>
        <w:t xml:space="preserve"> underpinned by</w:t>
      </w:r>
      <w:r w:rsidR="000D4337">
        <w:rPr>
          <w:rFonts w:ascii="Times New Roman" w:hAnsi="Times New Roman" w:cs="Times New Roman"/>
        </w:rPr>
        <w:t xml:space="preserve"> understandings of cities as sites of automobile consumerism. This position is explicitly approached in Kefford’s thesis, which argues that the central figure in the </w:t>
      </w:r>
      <w:r w:rsidR="000D4337">
        <w:rPr>
          <w:rFonts w:ascii="Times New Roman" w:hAnsi="Times New Roman" w:cs="Times New Roman"/>
        </w:rPr>
        <w:lastRenderedPageBreak/>
        <w:t xml:space="preserve">development of </w:t>
      </w:r>
      <w:r w:rsidR="000D4337" w:rsidRPr="005E4A3E">
        <w:rPr>
          <w:rFonts w:ascii="Times New Roman" w:hAnsi="Times New Roman" w:cs="Times New Roman"/>
        </w:rPr>
        <w:t xml:space="preserve">transport infrastructure </w:t>
      </w:r>
      <w:r w:rsidR="000D4337">
        <w:rPr>
          <w:rFonts w:ascii="Times New Roman" w:hAnsi="Times New Roman" w:cs="Times New Roman"/>
        </w:rPr>
        <w:t>was not merely the motorist, but the ‘shopping motorist’, something he partly illustrates with an inventive study of car park provision</w:t>
      </w:r>
      <w:r w:rsidR="000D4337" w:rsidRPr="005E4A3E">
        <w:rPr>
          <w:rFonts w:ascii="Times New Roman" w:hAnsi="Times New Roman" w:cs="Times New Roman"/>
        </w:rPr>
        <w:t>.</w:t>
      </w:r>
      <w:r w:rsidR="000D4337">
        <w:rPr>
          <w:rStyle w:val="FootnoteReference"/>
          <w:rFonts w:ascii="Times New Roman" w:hAnsi="Times New Roman" w:cs="Times New Roman"/>
        </w:rPr>
        <w:footnoteReference w:id="36"/>
      </w:r>
      <w:r w:rsidR="000D4337" w:rsidRPr="00F954B2">
        <w:rPr>
          <w:rStyle w:val="FootnoteReference"/>
          <w:rFonts w:ascii="Times New Roman" w:hAnsi="Times New Roman" w:cs="Times New Roman"/>
        </w:rPr>
        <w:t xml:space="preserve"> </w:t>
      </w:r>
      <w:r w:rsidR="000D4337">
        <w:rPr>
          <w:rFonts w:ascii="Times New Roman" w:hAnsi="Times New Roman" w:cs="Times New Roman"/>
        </w:rPr>
        <w:t>T</w:t>
      </w:r>
      <w:r w:rsidR="000D4337" w:rsidRPr="005E4A3E">
        <w:rPr>
          <w:rFonts w:ascii="Times New Roman" w:hAnsi="Times New Roman" w:cs="Times New Roman"/>
        </w:rPr>
        <w:t>he transport needs of ‘shoppers and shopping centres became the primary consideration in local officials’ regulation of mobility in the city’</w:t>
      </w:r>
      <w:r w:rsidR="000D4337">
        <w:rPr>
          <w:rFonts w:ascii="Times New Roman" w:hAnsi="Times New Roman" w:cs="Times New Roman"/>
        </w:rPr>
        <w:t xml:space="preserve"> in an attempt to reinvent the city as an economic hub fuelled by consumers in their cars</w:t>
      </w:r>
      <w:r w:rsidR="000D4337" w:rsidRPr="005E4A3E">
        <w:rPr>
          <w:rFonts w:ascii="Times New Roman" w:hAnsi="Times New Roman" w:cs="Times New Roman"/>
        </w:rPr>
        <w:t>.</w:t>
      </w:r>
      <w:r w:rsidR="000D4337" w:rsidRPr="005E4A3E">
        <w:rPr>
          <w:rStyle w:val="FootnoteReference"/>
          <w:rFonts w:ascii="Times New Roman" w:hAnsi="Times New Roman" w:cs="Times New Roman"/>
        </w:rPr>
        <w:footnoteReference w:id="37"/>
      </w:r>
      <w:r w:rsidR="000D4337">
        <w:rPr>
          <w:rFonts w:ascii="Times New Roman" w:hAnsi="Times New Roman" w:cs="Times New Roman"/>
        </w:rPr>
        <w:t xml:space="preserve"> </w:t>
      </w:r>
      <w:r w:rsidR="0018020B">
        <w:rPr>
          <w:rFonts w:ascii="Times New Roman" w:hAnsi="Times New Roman" w:cs="Times New Roman"/>
        </w:rPr>
        <w:t>Yet, Parker also show</w:t>
      </w:r>
      <w:r w:rsidR="00F954B2">
        <w:rPr>
          <w:rFonts w:ascii="Times New Roman" w:hAnsi="Times New Roman" w:cs="Times New Roman"/>
        </w:rPr>
        <w:t>s</w:t>
      </w:r>
      <w:r w:rsidR="0018020B">
        <w:rPr>
          <w:rFonts w:ascii="Times New Roman" w:hAnsi="Times New Roman" w:cs="Times New Roman"/>
        </w:rPr>
        <w:t xml:space="preserve"> that </w:t>
      </w:r>
      <w:r w:rsidR="00386EA7">
        <w:rPr>
          <w:rFonts w:ascii="Times New Roman" w:hAnsi="Times New Roman" w:cs="Times New Roman"/>
        </w:rPr>
        <w:t>creating a motor city also</w:t>
      </w:r>
      <w:r w:rsidR="0018020B">
        <w:rPr>
          <w:rFonts w:ascii="Times New Roman" w:hAnsi="Times New Roman" w:cs="Times New Roman"/>
        </w:rPr>
        <w:t xml:space="preserve"> enforced systems of inequality, with women, the poor and the elderly often excluded fr</w:t>
      </w:r>
      <w:r w:rsidR="00386EA7">
        <w:rPr>
          <w:rFonts w:ascii="Times New Roman" w:hAnsi="Times New Roman" w:cs="Times New Roman"/>
        </w:rPr>
        <w:t>om the cultures of automobility</w:t>
      </w:r>
      <w:r w:rsidR="000B6960">
        <w:rPr>
          <w:rFonts w:ascii="Times New Roman" w:hAnsi="Times New Roman" w:cs="Times New Roman"/>
        </w:rPr>
        <w:t>, pedestrians became a secondary consideration, and</w:t>
      </w:r>
      <w:r w:rsidR="00386EA7">
        <w:rPr>
          <w:rFonts w:ascii="Times New Roman" w:hAnsi="Times New Roman" w:cs="Times New Roman"/>
        </w:rPr>
        <w:t xml:space="preserve"> public transport provision was neglected. </w:t>
      </w:r>
      <w:r w:rsidR="000B6960">
        <w:rPr>
          <w:rFonts w:ascii="Times New Roman" w:hAnsi="Times New Roman" w:cs="Times New Roman"/>
        </w:rPr>
        <w:t>In addition, the reliance on cars had other dramatic impacts upon the quality of life of Birmingham’s residents who feared for their health and grew increasingly unhappy with planning policy that, by 1971, still offered so little to the 55% of people who did not own a car.</w:t>
      </w:r>
      <w:r w:rsidR="000B6960">
        <w:rPr>
          <w:rStyle w:val="FootnoteReference"/>
          <w:rFonts w:ascii="Times New Roman" w:hAnsi="Times New Roman" w:cs="Times New Roman"/>
        </w:rPr>
        <w:footnoteReference w:id="38"/>
      </w:r>
      <w:r w:rsidR="000B6960">
        <w:rPr>
          <w:rFonts w:ascii="Times New Roman" w:hAnsi="Times New Roman" w:cs="Times New Roman"/>
        </w:rPr>
        <w:t xml:space="preserve">  </w:t>
      </w:r>
      <w:r w:rsidR="000D4337">
        <w:rPr>
          <w:rFonts w:ascii="Times New Roman" w:hAnsi="Times New Roman" w:cs="Times New Roman"/>
        </w:rPr>
        <w:t>That so many ordinary lives were subordinated to a</w:t>
      </w:r>
      <w:r w:rsidR="004F17F6">
        <w:rPr>
          <w:rFonts w:ascii="Times New Roman" w:hAnsi="Times New Roman" w:cs="Times New Roman"/>
        </w:rPr>
        <w:t>n expensive,</w:t>
      </w:r>
      <w:r w:rsidR="000D4337">
        <w:rPr>
          <w:rFonts w:ascii="Times New Roman" w:hAnsi="Times New Roman" w:cs="Times New Roman"/>
        </w:rPr>
        <w:t xml:space="preserve"> remarkably rigid an</w:t>
      </w:r>
      <w:r w:rsidR="005F2BD3">
        <w:rPr>
          <w:rFonts w:ascii="Times New Roman" w:hAnsi="Times New Roman" w:cs="Times New Roman"/>
        </w:rPr>
        <w:t xml:space="preserve">d </w:t>
      </w:r>
      <w:r w:rsidR="00427D9E">
        <w:rPr>
          <w:rFonts w:ascii="Times New Roman" w:hAnsi="Times New Roman" w:cs="Times New Roman"/>
        </w:rPr>
        <w:t>homogeno</w:t>
      </w:r>
      <w:r w:rsidR="000B6960">
        <w:rPr>
          <w:rFonts w:ascii="Times New Roman" w:hAnsi="Times New Roman" w:cs="Times New Roman"/>
        </w:rPr>
        <w:t xml:space="preserve">us system of </w:t>
      </w:r>
      <w:r w:rsidR="004F17F6">
        <w:rPr>
          <w:rFonts w:ascii="Times New Roman" w:hAnsi="Times New Roman" w:cs="Times New Roman"/>
        </w:rPr>
        <w:t>transport</w:t>
      </w:r>
      <w:r w:rsidR="000B6960">
        <w:rPr>
          <w:rFonts w:ascii="Times New Roman" w:hAnsi="Times New Roman" w:cs="Times New Roman"/>
        </w:rPr>
        <w:t xml:space="preserve"> was, Parker concludes, unsustainable in the face of opposition from people for whom it provided so few benefits and</w:t>
      </w:r>
      <w:r w:rsidR="000A6CD1">
        <w:rPr>
          <w:rFonts w:ascii="Times New Roman" w:hAnsi="Times New Roman" w:cs="Times New Roman"/>
        </w:rPr>
        <w:t xml:space="preserve"> whose daily lives</w:t>
      </w:r>
      <w:r w:rsidR="000B6960">
        <w:rPr>
          <w:rFonts w:ascii="Times New Roman" w:hAnsi="Times New Roman" w:cs="Times New Roman"/>
        </w:rPr>
        <w:t xml:space="preserve">, in many cases, </w:t>
      </w:r>
      <w:r w:rsidR="000A6CD1">
        <w:rPr>
          <w:rFonts w:ascii="Times New Roman" w:hAnsi="Times New Roman" w:cs="Times New Roman"/>
        </w:rPr>
        <w:t xml:space="preserve">it actively </w:t>
      </w:r>
      <w:r w:rsidR="000B6960">
        <w:rPr>
          <w:rFonts w:ascii="Times New Roman" w:hAnsi="Times New Roman" w:cs="Times New Roman"/>
        </w:rPr>
        <w:t xml:space="preserve">hampered.  </w:t>
      </w:r>
      <w:r w:rsidR="00427D9E">
        <w:rPr>
          <w:rFonts w:ascii="Times New Roman" w:hAnsi="Times New Roman" w:cs="Times New Roman"/>
        </w:rPr>
        <w:t xml:space="preserve"> </w:t>
      </w:r>
    </w:p>
    <w:p w14:paraId="54CC078D" w14:textId="69EFD0F9" w:rsidR="00346EDA" w:rsidRDefault="008B7BB4" w:rsidP="00732322">
      <w:pPr>
        <w:spacing w:line="480" w:lineRule="auto"/>
        <w:jc w:val="both"/>
        <w:rPr>
          <w:rFonts w:ascii="Times New Roman" w:hAnsi="Times New Roman" w:cs="Times New Roman"/>
        </w:rPr>
      </w:pPr>
      <w:r>
        <w:rPr>
          <w:rFonts w:ascii="Times New Roman" w:hAnsi="Times New Roman" w:cs="Times New Roman"/>
        </w:rPr>
        <w:tab/>
      </w:r>
      <w:r w:rsidR="004F17F6">
        <w:rPr>
          <w:rFonts w:ascii="Times New Roman" w:hAnsi="Times New Roman" w:cs="Times New Roman"/>
        </w:rPr>
        <w:t xml:space="preserve">Parker, </w:t>
      </w:r>
      <w:r w:rsidR="00F256DC" w:rsidRPr="005E4A3E">
        <w:rPr>
          <w:rFonts w:ascii="Times New Roman" w:hAnsi="Times New Roman" w:cs="Times New Roman"/>
        </w:rPr>
        <w:t>Meredith and Mass, in different ways</w:t>
      </w:r>
      <w:r w:rsidR="00475C36" w:rsidRPr="005E4A3E">
        <w:rPr>
          <w:rFonts w:ascii="Times New Roman" w:hAnsi="Times New Roman" w:cs="Times New Roman"/>
        </w:rPr>
        <w:t>,</w:t>
      </w:r>
      <w:r w:rsidR="00F256DC" w:rsidRPr="005E4A3E">
        <w:rPr>
          <w:rFonts w:ascii="Times New Roman" w:hAnsi="Times New Roman" w:cs="Times New Roman"/>
        </w:rPr>
        <w:t xml:space="preserve"> demonstrate </w:t>
      </w:r>
      <w:r w:rsidR="004F17F6">
        <w:rPr>
          <w:rFonts w:ascii="Times New Roman" w:hAnsi="Times New Roman" w:cs="Times New Roman"/>
        </w:rPr>
        <w:t>the reasons that the</w:t>
      </w:r>
      <w:r w:rsidR="00F256DC" w:rsidRPr="005E4A3E">
        <w:rPr>
          <w:rFonts w:ascii="Times New Roman" w:hAnsi="Times New Roman" w:cs="Times New Roman"/>
        </w:rPr>
        <w:t xml:space="preserve"> preferences and habits of the planned-for gradually </w:t>
      </w:r>
      <w:r w:rsidR="00475C36" w:rsidRPr="005E4A3E">
        <w:rPr>
          <w:rFonts w:ascii="Times New Roman" w:hAnsi="Times New Roman" w:cs="Times New Roman"/>
        </w:rPr>
        <w:t xml:space="preserve">reshaped the decision making process central to urban </w:t>
      </w:r>
      <w:r w:rsidR="006609D4" w:rsidRPr="005E4A3E">
        <w:rPr>
          <w:rFonts w:ascii="Times New Roman" w:hAnsi="Times New Roman" w:cs="Times New Roman"/>
        </w:rPr>
        <w:t>development</w:t>
      </w:r>
      <w:r w:rsidR="00F256DC" w:rsidRPr="005E4A3E">
        <w:rPr>
          <w:rFonts w:ascii="Times New Roman" w:hAnsi="Times New Roman" w:cs="Times New Roman"/>
        </w:rPr>
        <w:t>. As historians like John Davis and Peter Shapley have shown</w:t>
      </w:r>
      <w:r w:rsidR="00444B00" w:rsidRPr="005E4A3E">
        <w:rPr>
          <w:rFonts w:ascii="Times New Roman" w:hAnsi="Times New Roman" w:cs="Times New Roman"/>
        </w:rPr>
        <w:t xml:space="preserve"> </w:t>
      </w:r>
      <w:r w:rsidR="00F256DC" w:rsidRPr="005E4A3E">
        <w:rPr>
          <w:rFonts w:ascii="Times New Roman" w:hAnsi="Times New Roman" w:cs="Times New Roman"/>
        </w:rPr>
        <w:t xml:space="preserve">government policy, particularly </w:t>
      </w:r>
      <w:r w:rsidR="00475C36" w:rsidRPr="005E4A3E">
        <w:rPr>
          <w:rFonts w:ascii="Times New Roman" w:hAnsi="Times New Roman" w:cs="Times New Roman"/>
        </w:rPr>
        <w:t>urban policy, was</w:t>
      </w:r>
      <w:r w:rsidR="00F256DC" w:rsidRPr="005E4A3E">
        <w:rPr>
          <w:rFonts w:ascii="Times New Roman" w:hAnsi="Times New Roman" w:cs="Times New Roman"/>
        </w:rPr>
        <w:t xml:space="preserve"> increasingly characterised by</w:t>
      </w:r>
      <w:r w:rsidR="006609D4">
        <w:rPr>
          <w:rFonts w:ascii="Times New Roman" w:hAnsi="Times New Roman" w:cs="Times New Roman"/>
        </w:rPr>
        <w:t xml:space="preserve"> sporadic</w:t>
      </w:r>
      <w:r w:rsidR="00F256DC" w:rsidRPr="005E4A3E">
        <w:rPr>
          <w:rFonts w:ascii="Times New Roman" w:hAnsi="Times New Roman" w:cs="Times New Roman"/>
        </w:rPr>
        <w:t xml:space="preserve"> attempts to </w:t>
      </w:r>
      <w:r w:rsidR="006609D4">
        <w:rPr>
          <w:rFonts w:ascii="Times New Roman" w:hAnsi="Times New Roman" w:cs="Times New Roman"/>
        </w:rPr>
        <w:t xml:space="preserve">foster, </w:t>
      </w:r>
      <w:r w:rsidR="00F256DC" w:rsidRPr="005E4A3E">
        <w:rPr>
          <w:rFonts w:ascii="Times New Roman" w:hAnsi="Times New Roman" w:cs="Times New Roman"/>
        </w:rPr>
        <w:t xml:space="preserve">understand </w:t>
      </w:r>
      <w:r w:rsidR="00475C36" w:rsidRPr="005E4A3E">
        <w:rPr>
          <w:rFonts w:ascii="Times New Roman" w:hAnsi="Times New Roman" w:cs="Times New Roman"/>
        </w:rPr>
        <w:t>and engage with local communities f</w:t>
      </w:r>
      <w:r w:rsidR="003F1441">
        <w:rPr>
          <w:rFonts w:ascii="Times New Roman" w:hAnsi="Times New Roman" w:cs="Times New Roman"/>
        </w:rPr>
        <w:t>rom the 1960s and 1970s onwards, a</w:t>
      </w:r>
      <w:r w:rsidR="00475C36" w:rsidRPr="005E4A3E">
        <w:rPr>
          <w:rFonts w:ascii="Times New Roman" w:hAnsi="Times New Roman" w:cs="Times New Roman"/>
        </w:rPr>
        <w:t>lbeit often</w:t>
      </w:r>
      <w:r w:rsidR="003F1441">
        <w:rPr>
          <w:rFonts w:ascii="Times New Roman" w:hAnsi="Times New Roman" w:cs="Times New Roman"/>
        </w:rPr>
        <w:t xml:space="preserve"> in ways that were often </w:t>
      </w:r>
      <w:r w:rsidR="00475C36" w:rsidRPr="005E4A3E">
        <w:rPr>
          <w:rFonts w:ascii="Times New Roman" w:hAnsi="Times New Roman" w:cs="Times New Roman"/>
        </w:rPr>
        <w:t>still top-down</w:t>
      </w:r>
      <w:r w:rsidR="006609D4">
        <w:rPr>
          <w:rFonts w:ascii="Times New Roman" w:hAnsi="Times New Roman" w:cs="Times New Roman"/>
        </w:rPr>
        <w:t>, remote and frequently</w:t>
      </w:r>
      <w:r w:rsidR="00475C36" w:rsidRPr="005E4A3E">
        <w:rPr>
          <w:rFonts w:ascii="Times New Roman" w:hAnsi="Times New Roman" w:cs="Times New Roman"/>
        </w:rPr>
        <w:t xml:space="preserve"> unsuccessful.</w:t>
      </w:r>
      <w:r w:rsidR="00475C36" w:rsidRPr="005E4A3E">
        <w:rPr>
          <w:rStyle w:val="FootnoteReference"/>
          <w:rFonts w:ascii="Times New Roman" w:hAnsi="Times New Roman" w:cs="Times New Roman"/>
        </w:rPr>
        <w:footnoteReference w:id="39"/>
      </w:r>
      <w:r w:rsidR="00475C36" w:rsidRPr="005E4A3E">
        <w:rPr>
          <w:rFonts w:ascii="Times New Roman" w:hAnsi="Times New Roman" w:cs="Times New Roman"/>
        </w:rPr>
        <w:t xml:space="preserve"> David Ellis’ 2015 thesis, concerned with community action, local government </w:t>
      </w:r>
      <w:r w:rsidR="00475C36" w:rsidRPr="005E4A3E">
        <w:rPr>
          <w:rFonts w:ascii="Times New Roman" w:hAnsi="Times New Roman" w:cs="Times New Roman"/>
        </w:rPr>
        <w:lastRenderedPageBreak/>
        <w:t xml:space="preserve">and urban policy in Leeds between 1960 and 1990, thus provides another important piece in the puzzle of post-war </w:t>
      </w:r>
      <w:r w:rsidR="006609D4">
        <w:rPr>
          <w:rFonts w:ascii="Times New Roman" w:hAnsi="Times New Roman" w:cs="Times New Roman"/>
        </w:rPr>
        <w:t xml:space="preserve">municipal </w:t>
      </w:r>
      <w:r w:rsidR="00475C36" w:rsidRPr="005E4A3E">
        <w:rPr>
          <w:rFonts w:ascii="Times New Roman" w:hAnsi="Times New Roman" w:cs="Times New Roman"/>
        </w:rPr>
        <w:t xml:space="preserve">decision </w:t>
      </w:r>
      <w:r w:rsidR="003F1441" w:rsidRPr="005E4A3E">
        <w:rPr>
          <w:rFonts w:ascii="Times New Roman" w:hAnsi="Times New Roman" w:cs="Times New Roman"/>
        </w:rPr>
        <w:t>making</w:t>
      </w:r>
      <w:r w:rsidR="003F1441">
        <w:rPr>
          <w:rFonts w:ascii="Times New Roman" w:hAnsi="Times New Roman" w:cs="Times New Roman"/>
        </w:rPr>
        <w:t xml:space="preserve"> by highlighting the role of politics at a neighbourhood, non-state level</w:t>
      </w:r>
      <w:r w:rsidR="00475C36" w:rsidRPr="005E4A3E">
        <w:rPr>
          <w:rFonts w:ascii="Times New Roman" w:hAnsi="Times New Roman" w:cs="Times New Roman"/>
        </w:rPr>
        <w:t>.</w:t>
      </w:r>
      <w:r w:rsidR="0088197E">
        <w:rPr>
          <w:rStyle w:val="FootnoteReference"/>
          <w:rFonts w:ascii="Times New Roman" w:hAnsi="Times New Roman" w:cs="Times New Roman"/>
        </w:rPr>
        <w:footnoteReference w:id="40"/>
      </w:r>
      <w:r w:rsidR="00475C36" w:rsidRPr="005E4A3E">
        <w:rPr>
          <w:rFonts w:ascii="Times New Roman" w:hAnsi="Times New Roman" w:cs="Times New Roman"/>
        </w:rPr>
        <w:t xml:space="preserve"> </w:t>
      </w:r>
      <w:r w:rsidR="0088197E">
        <w:rPr>
          <w:rFonts w:ascii="Times New Roman" w:hAnsi="Times New Roman" w:cs="Times New Roman"/>
        </w:rPr>
        <w:t>Ellis demonstrates that community action groups, through pragmatic, politically and intellectually heterogeneous forms of activism, successfully contested plans for the built environment, particularly housing provision</w:t>
      </w:r>
      <w:r w:rsidR="00E76112">
        <w:rPr>
          <w:rFonts w:ascii="Times New Roman" w:hAnsi="Times New Roman" w:cs="Times New Roman"/>
        </w:rPr>
        <w:t xml:space="preserve"> and services</w:t>
      </w:r>
      <w:r w:rsidR="0088197E">
        <w:rPr>
          <w:rFonts w:ascii="Times New Roman" w:hAnsi="Times New Roman" w:cs="Times New Roman"/>
        </w:rPr>
        <w:t>. In doing so, Ellis shows that community action groups were instrumental throughout the 1970s in shaping policies around their own understandings of ‘how cities should function and what urban life should look like’.</w:t>
      </w:r>
      <w:r w:rsidR="0088197E">
        <w:rPr>
          <w:rStyle w:val="FootnoteReference"/>
          <w:rFonts w:ascii="Times New Roman" w:hAnsi="Times New Roman" w:cs="Times New Roman"/>
        </w:rPr>
        <w:footnoteReference w:id="41"/>
      </w:r>
      <w:r w:rsidR="003F1441">
        <w:rPr>
          <w:rFonts w:ascii="Times New Roman" w:hAnsi="Times New Roman" w:cs="Times New Roman"/>
        </w:rPr>
        <w:t xml:space="preserve"> </w:t>
      </w:r>
      <w:r w:rsidR="00E76112">
        <w:rPr>
          <w:rFonts w:ascii="Times New Roman" w:hAnsi="Times New Roman" w:cs="Times New Roman"/>
        </w:rPr>
        <w:t>Where Ellis’ analysis differs from a number of the more recent analyses of political activism of this type</w:t>
      </w:r>
      <w:r w:rsidR="008D1E20">
        <w:rPr>
          <w:rFonts w:ascii="Times New Roman" w:hAnsi="Times New Roman" w:cs="Times New Roman"/>
        </w:rPr>
        <w:t xml:space="preserve">, however, </w:t>
      </w:r>
      <w:r w:rsidR="00E76112">
        <w:rPr>
          <w:rFonts w:ascii="Times New Roman" w:hAnsi="Times New Roman" w:cs="Times New Roman"/>
        </w:rPr>
        <w:t>is in stressing that citizens did not simply see themselves as consumers of welfare or housing</w:t>
      </w:r>
      <w:r w:rsidR="008D1E20">
        <w:rPr>
          <w:rFonts w:ascii="Times New Roman" w:hAnsi="Times New Roman" w:cs="Times New Roman"/>
        </w:rPr>
        <w:t>;</w:t>
      </w:r>
      <w:r w:rsidR="00E76112">
        <w:rPr>
          <w:rFonts w:ascii="Times New Roman" w:hAnsi="Times New Roman" w:cs="Times New Roman"/>
        </w:rPr>
        <w:t xml:space="preserve"> </w:t>
      </w:r>
      <w:r w:rsidR="008D1E20">
        <w:rPr>
          <w:rFonts w:ascii="Times New Roman" w:hAnsi="Times New Roman" w:cs="Times New Roman"/>
        </w:rPr>
        <w:t xml:space="preserve">rather they </w:t>
      </w:r>
      <w:r w:rsidR="00E76112">
        <w:rPr>
          <w:rFonts w:ascii="Times New Roman" w:hAnsi="Times New Roman" w:cs="Times New Roman"/>
        </w:rPr>
        <w:t xml:space="preserve">wished to participate in the policy-making process and in </w:t>
      </w:r>
      <w:r w:rsidR="00FB7F9C">
        <w:rPr>
          <w:rFonts w:ascii="Times New Roman" w:hAnsi="Times New Roman" w:cs="Times New Roman"/>
        </w:rPr>
        <w:t xml:space="preserve">the </w:t>
      </w:r>
      <w:r w:rsidR="00E76112">
        <w:rPr>
          <w:rFonts w:ascii="Times New Roman" w:hAnsi="Times New Roman" w:cs="Times New Roman"/>
        </w:rPr>
        <w:t>shaping of public services.</w:t>
      </w:r>
      <w:r w:rsidR="00E76112">
        <w:rPr>
          <w:rStyle w:val="FootnoteReference"/>
          <w:rFonts w:ascii="Times New Roman" w:hAnsi="Times New Roman" w:cs="Times New Roman"/>
        </w:rPr>
        <w:footnoteReference w:id="42"/>
      </w:r>
      <w:r w:rsidR="00E76112">
        <w:rPr>
          <w:rFonts w:ascii="Times New Roman" w:hAnsi="Times New Roman" w:cs="Times New Roman"/>
        </w:rPr>
        <w:t xml:space="preserve"> </w:t>
      </w:r>
      <w:r w:rsidR="00C74F80">
        <w:rPr>
          <w:rFonts w:ascii="Times New Roman" w:hAnsi="Times New Roman" w:cs="Times New Roman"/>
        </w:rPr>
        <w:t xml:space="preserve">Ellis’ contribution thus </w:t>
      </w:r>
      <w:r w:rsidR="0046250A">
        <w:rPr>
          <w:rFonts w:ascii="Times New Roman" w:hAnsi="Times New Roman" w:cs="Times New Roman"/>
        </w:rPr>
        <w:t>stresses</w:t>
      </w:r>
      <w:r w:rsidR="00C74F80">
        <w:rPr>
          <w:rFonts w:ascii="Times New Roman" w:hAnsi="Times New Roman" w:cs="Times New Roman"/>
        </w:rPr>
        <w:t xml:space="preserve"> how the planned-for organised themselves to have a profound impact on the built environment and </w:t>
      </w:r>
      <w:r w:rsidR="008D1E20">
        <w:rPr>
          <w:rFonts w:ascii="Times New Roman" w:hAnsi="Times New Roman" w:cs="Times New Roman"/>
        </w:rPr>
        <w:t xml:space="preserve">the </w:t>
      </w:r>
      <w:r w:rsidR="00C74F80">
        <w:rPr>
          <w:rFonts w:ascii="Times New Roman" w:hAnsi="Times New Roman" w:cs="Times New Roman"/>
        </w:rPr>
        <w:t>policies which governed it.</w:t>
      </w:r>
      <w:r w:rsidR="0046250A">
        <w:rPr>
          <w:rFonts w:ascii="Times New Roman" w:hAnsi="Times New Roman" w:cs="Times New Roman"/>
        </w:rPr>
        <w:t xml:space="preserve"> </w:t>
      </w:r>
      <w:r w:rsidR="00C74F80">
        <w:rPr>
          <w:rFonts w:ascii="Times New Roman" w:hAnsi="Times New Roman" w:cs="Times New Roman"/>
        </w:rPr>
        <w:t xml:space="preserve">Indeed, although he shows how these forms of community activism struggled to truly translate </w:t>
      </w:r>
      <w:r w:rsidR="008D1E20">
        <w:rPr>
          <w:rFonts w:ascii="Times New Roman" w:hAnsi="Times New Roman" w:cs="Times New Roman"/>
        </w:rPr>
        <w:t>in</w:t>
      </w:r>
      <w:r w:rsidR="00C74F80">
        <w:rPr>
          <w:rFonts w:ascii="Times New Roman" w:hAnsi="Times New Roman" w:cs="Times New Roman"/>
        </w:rPr>
        <w:t xml:space="preserve">to </w:t>
      </w:r>
      <w:r w:rsidR="0046250A">
        <w:rPr>
          <w:rFonts w:ascii="Times New Roman" w:hAnsi="Times New Roman" w:cs="Times New Roman"/>
        </w:rPr>
        <w:t>a coherent national movement</w:t>
      </w:r>
      <w:r w:rsidR="00C74F80">
        <w:rPr>
          <w:rFonts w:ascii="Times New Roman" w:hAnsi="Times New Roman" w:cs="Times New Roman"/>
        </w:rPr>
        <w:t>, especially</w:t>
      </w:r>
      <w:r w:rsidR="0046250A">
        <w:rPr>
          <w:rFonts w:ascii="Times New Roman" w:hAnsi="Times New Roman" w:cs="Times New Roman"/>
        </w:rPr>
        <w:t xml:space="preserve"> in the face of Margret Thatcher’s policies, they </w:t>
      </w:r>
      <w:r w:rsidR="0046250A" w:rsidRPr="006D3761">
        <w:rPr>
          <w:rFonts w:ascii="Times New Roman" w:hAnsi="Times New Roman" w:cs="Times New Roman"/>
          <w:i/>
        </w:rPr>
        <w:t>were</w:t>
      </w:r>
      <w:r w:rsidR="0046250A">
        <w:rPr>
          <w:rFonts w:ascii="Times New Roman" w:hAnsi="Times New Roman" w:cs="Times New Roman"/>
        </w:rPr>
        <w:t xml:space="preserve"> successful in embedding the notion of community consultation in approaches to urban governance. </w:t>
      </w:r>
    </w:p>
    <w:p w14:paraId="47799C95" w14:textId="65BAFB3C" w:rsidR="009B17FD" w:rsidRDefault="00EE0218" w:rsidP="00732322">
      <w:pPr>
        <w:spacing w:line="480" w:lineRule="auto"/>
        <w:jc w:val="both"/>
        <w:rPr>
          <w:rFonts w:ascii="Times New Roman" w:hAnsi="Times New Roman" w:cs="Times New Roman"/>
        </w:rPr>
      </w:pPr>
      <w:r>
        <w:rPr>
          <w:rFonts w:ascii="Times New Roman" w:hAnsi="Times New Roman" w:cs="Times New Roman"/>
        </w:rPr>
        <w:tab/>
      </w:r>
      <w:r w:rsidR="00F956DD">
        <w:rPr>
          <w:rFonts w:ascii="Times New Roman" w:hAnsi="Times New Roman" w:cs="Times New Roman"/>
        </w:rPr>
        <w:t xml:space="preserve">Another theme in Ellis work </w:t>
      </w:r>
      <w:r w:rsidR="008D1E20">
        <w:rPr>
          <w:rFonts w:ascii="Times New Roman" w:hAnsi="Times New Roman" w:cs="Times New Roman"/>
        </w:rPr>
        <w:t xml:space="preserve">is </w:t>
      </w:r>
      <w:r w:rsidR="008F1CF0">
        <w:rPr>
          <w:rFonts w:ascii="Times New Roman" w:hAnsi="Times New Roman" w:cs="Times New Roman"/>
        </w:rPr>
        <w:t xml:space="preserve">the challenges of community action against a persistent narrative and perception of inner city decline </w:t>
      </w:r>
      <w:r w:rsidR="008D1E20">
        <w:rPr>
          <w:rFonts w:ascii="Times New Roman" w:hAnsi="Times New Roman" w:cs="Times New Roman"/>
        </w:rPr>
        <w:t xml:space="preserve">both </w:t>
      </w:r>
      <w:r w:rsidR="008F1CF0">
        <w:rPr>
          <w:rFonts w:ascii="Times New Roman" w:hAnsi="Times New Roman" w:cs="Times New Roman"/>
        </w:rPr>
        <w:t xml:space="preserve">in </w:t>
      </w:r>
      <w:r w:rsidR="008D1E20">
        <w:rPr>
          <w:rFonts w:ascii="Times New Roman" w:hAnsi="Times New Roman" w:cs="Times New Roman"/>
        </w:rPr>
        <w:t xml:space="preserve">the </w:t>
      </w:r>
      <w:r w:rsidR="008F1CF0">
        <w:rPr>
          <w:rFonts w:ascii="Times New Roman" w:hAnsi="Times New Roman" w:cs="Times New Roman"/>
        </w:rPr>
        <w:t>media and amongst central government. Community action groups</w:t>
      </w:r>
      <w:r w:rsidR="00416D3C">
        <w:rPr>
          <w:rFonts w:ascii="Times New Roman" w:hAnsi="Times New Roman" w:cs="Times New Roman"/>
        </w:rPr>
        <w:t xml:space="preserve"> enjoyed a </w:t>
      </w:r>
      <w:r w:rsidR="008F1CF0">
        <w:rPr>
          <w:rFonts w:ascii="Times New Roman" w:hAnsi="Times New Roman" w:cs="Times New Roman"/>
        </w:rPr>
        <w:t>great deal of success in defeating attempts to clear areas of housing in city centres during the 1970s</w:t>
      </w:r>
      <w:r w:rsidR="00416D3C">
        <w:rPr>
          <w:rFonts w:ascii="Times New Roman" w:hAnsi="Times New Roman" w:cs="Times New Roman"/>
        </w:rPr>
        <w:t xml:space="preserve">, illustrating, as Meredith also does, the receding – at least in the arena of housing and community construction – of the belief that </w:t>
      </w:r>
      <w:r w:rsidR="00416D3C">
        <w:rPr>
          <w:rFonts w:ascii="Times New Roman" w:hAnsi="Times New Roman" w:cs="Times New Roman"/>
        </w:rPr>
        <w:lastRenderedPageBreak/>
        <w:t>all solutions to urban issu</w:t>
      </w:r>
      <w:r w:rsidR="006D3761">
        <w:rPr>
          <w:rFonts w:ascii="Times New Roman" w:hAnsi="Times New Roman" w:cs="Times New Roman"/>
        </w:rPr>
        <w:t>es were merely</w:t>
      </w:r>
      <w:r w:rsidR="00416D3C">
        <w:rPr>
          <w:rFonts w:ascii="Times New Roman" w:hAnsi="Times New Roman" w:cs="Times New Roman"/>
        </w:rPr>
        <w:t xml:space="preserve"> a question of finding the correct design or layout. </w:t>
      </w:r>
      <w:r w:rsidR="00C83300">
        <w:rPr>
          <w:rFonts w:ascii="Times New Roman" w:hAnsi="Times New Roman" w:cs="Times New Roman"/>
        </w:rPr>
        <w:t xml:space="preserve">This moment of transition, played out in the interactions of </w:t>
      </w:r>
      <w:r w:rsidR="0086308B">
        <w:rPr>
          <w:rFonts w:ascii="Times New Roman" w:hAnsi="Times New Roman" w:cs="Times New Roman"/>
        </w:rPr>
        <w:t xml:space="preserve">voluntary organisations with the state in efforts to ameliorate </w:t>
      </w:r>
      <w:r w:rsidR="00C83300">
        <w:rPr>
          <w:rFonts w:ascii="Times New Roman" w:hAnsi="Times New Roman" w:cs="Times New Roman"/>
        </w:rPr>
        <w:t xml:space="preserve">the effects of urban decline, is </w:t>
      </w:r>
      <w:r w:rsidR="0086308B">
        <w:rPr>
          <w:rFonts w:ascii="Times New Roman" w:hAnsi="Times New Roman" w:cs="Times New Roman"/>
        </w:rPr>
        <w:t>also a</w:t>
      </w:r>
      <w:r w:rsidR="00C83300">
        <w:rPr>
          <w:rFonts w:ascii="Times New Roman" w:hAnsi="Times New Roman" w:cs="Times New Roman"/>
        </w:rPr>
        <w:t xml:space="preserve"> central</w:t>
      </w:r>
      <w:r w:rsidR="0086308B">
        <w:rPr>
          <w:rFonts w:ascii="Times New Roman" w:hAnsi="Times New Roman" w:cs="Times New Roman"/>
        </w:rPr>
        <w:t xml:space="preserve"> feature of Aaron Andrews’ study of urban crisis in Liverpool between 1968 and 1986</w:t>
      </w:r>
      <w:r w:rsidR="00092144">
        <w:rPr>
          <w:rFonts w:ascii="Times New Roman" w:hAnsi="Times New Roman" w:cs="Times New Roman"/>
        </w:rPr>
        <w:t>.</w:t>
      </w:r>
      <w:r w:rsidR="00092144">
        <w:rPr>
          <w:rStyle w:val="FootnoteReference"/>
          <w:rFonts w:ascii="Times New Roman" w:hAnsi="Times New Roman" w:cs="Times New Roman"/>
        </w:rPr>
        <w:footnoteReference w:id="43"/>
      </w:r>
      <w:r w:rsidR="00092144">
        <w:rPr>
          <w:rFonts w:ascii="Times New Roman" w:hAnsi="Times New Roman" w:cs="Times New Roman"/>
        </w:rPr>
        <w:t xml:space="preserve"> In this thesis, completed in 2018, Andrews</w:t>
      </w:r>
      <w:r w:rsidR="0086308B">
        <w:rPr>
          <w:rFonts w:ascii="Times New Roman" w:hAnsi="Times New Roman" w:cs="Times New Roman"/>
        </w:rPr>
        <w:t xml:space="preserve"> </w:t>
      </w:r>
      <w:r w:rsidR="00BF52AE">
        <w:rPr>
          <w:rFonts w:ascii="Times New Roman" w:hAnsi="Times New Roman" w:cs="Times New Roman"/>
        </w:rPr>
        <w:t xml:space="preserve">examines how </w:t>
      </w:r>
      <w:r w:rsidR="003D3CC2">
        <w:rPr>
          <w:rFonts w:ascii="Times New Roman" w:hAnsi="Times New Roman" w:cs="Times New Roman"/>
        </w:rPr>
        <w:t xml:space="preserve">decline was studied, understood and experienced through the built environment in Merseyside, showing how </w:t>
      </w:r>
      <w:r w:rsidR="004C6B0A">
        <w:rPr>
          <w:rFonts w:ascii="Times New Roman" w:hAnsi="Times New Roman" w:cs="Times New Roman"/>
        </w:rPr>
        <w:t>the notions of an inner-city</w:t>
      </w:r>
      <w:r w:rsidR="003D3CC2">
        <w:rPr>
          <w:rFonts w:ascii="Times New Roman" w:hAnsi="Times New Roman" w:cs="Times New Roman"/>
        </w:rPr>
        <w:t xml:space="preserve"> crisis were constructed culturally and politically. </w:t>
      </w:r>
      <w:r w:rsidR="00C079A2">
        <w:rPr>
          <w:rFonts w:ascii="Times New Roman" w:hAnsi="Times New Roman" w:cs="Times New Roman"/>
        </w:rPr>
        <w:t>In Andrews’ work the deteriorating urban environment of Liverpool’s inner-city takes on an agency of its own, not merely reflecting patterns of unemployment, crime and indexes of ‘multiple deprivation’, but becoming the major obstacle to economic regeneration and a</w:t>
      </w:r>
      <w:r w:rsidR="00C83300">
        <w:rPr>
          <w:rFonts w:ascii="Times New Roman" w:hAnsi="Times New Roman" w:cs="Times New Roman"/>
        </w:rPr>
        <w:t xml:space="preserve"> barrier to population recovery. As Saumarez Smith has also shown in recent work, the problems of the inner cities were </w:t>
      </w:r>
      <w:r w:rsidR="0030464F">
        <w:rPr>
          <w:rFonts w:ascii="Times New Roman" w:hAnsi="Times New Roman" w:cs="Times New Roman"/>
        </w:rPr>
        <w:t>held</w:t>
      </w:r>
      <w:r w:rsidR="008D1E20">
        <w:rPr>
          <w:rFonts w:ascii="Times New Roman" w:hAnsi="Times New Roman" w:cs="Times New Roman"/>
        </w:rPr>
        <w:t xml:space="preserve"> </w:t>
      </w:r>
      <w:r w:rsidR="0030464F">
        <w:rPr>
          <w:rFonts w:ascii="Times New Roman" w:hAnsi="Times New Roman" w:cs="Times New Roman"/>
        </w:rPr>
        <w:t xml:space="preserve">up as </w:t>
      </w:r>
      <w:r w:rsidR="00C83300">
        <w:rPr>
          <w:rFonts w:ascii="Times New Roman" w:hAnsi="Times New Roman" w:cs="Times New Roman"/>
        </w:rPr>
        <w:t xml:space="preserve">evidence that the </w:t>
      </w:r>
      <w:r w:rsidR="0030464F">
        <w:rPr>
          <w:rFonts w:ascii="Times New Roman" w:hAnsi="Times New Roman" w:cs="Times New Roman"/>
        </w:rPr>
        <w:t>modernist project to</w:t>
      </w:r>
      <w:r w:rsidR="00C83300">
        <w:rPr>
          <w:rFonts w:ascii="Times New Roman" w:hAnsi="Times New Roman" w:cs="Times New Roman"/>
        </w:rPr>
        <w:t xml:space="preserve"> clear and remake the built environment </w:t>
      </w:r>
      <w:r w:rsidR="0030464F">
        <w:rPr>
          <w:rFonts w:ascii="Times New Roman" w:hAnsi="Times New Roman" w:cs="Times New Roman"/>
        </w:rPr>
        <w:t>had not merely failed, but had somehow caused the urban crisis in breaking with traditions and</w:t>
      </w:r>
      <w:r w:rsidR="008D1E20">
        <w:rPr>
          <w:rFonts w:ascii="Times New Roman" w:hAnsi="Times New Roman" w:cs="Times New Roman"/>
        </w:rPr>
        <w:t xml:space="preserve"> through</w:t>
      </w:r>
      <w:r w:rsidR="0030464F">
        <w:rPr>
          <w:rFonts w:ascii="Times New Roman" w:hAnsi="Times New Roman" w:cs="Times New Roman"/>
        </w:rPr>
        <w:t xml:space="preserve"> the </w:t>
      </w:r>
      <w:r w:rsidR="00FB7F9C">
        <w:rPr>
          <w:rFonts w:ascii="Times New Roman" w:hAnsi="Times New Roman" w:cs="Times New Roman"/>
        </w:rPr>
        <w:t>fetishization</w:t>
      </w:r>
      <w:r w:rsidR="0030464F">
        <w:rPr>
          <w:rFonts w:ascii="Times New Roman" w:hAnsi="Times New Roman" w:cs="Times New Roman"/>
        </w:rPr>
        <w:t xml:space="preserve"> of newness.</w:t>
      </w:r>
      <w:r w:rsidR="0030464F">
        <w:rPr>
          <w:rStyle w:val="FootnoteReference"/>
          <w:rFonts w:ascii="Times New Roman" w:hAnsi="Times New Roman" w:cs="Times New Roman"/>
        </w:rPr>
        <w:footnoteReference w:id="44"/>
      </w:r>
      <w:r w:rsidR="0030464F">
        <w:rPr>
          <w:rFonts w:ascii="Times New Roman" w:hAnsi="Times New Roman" w:cs="Times New Roman"/>
        </w:rPr>
        <w:t xml:space="preserve"> </w:t>
      </w:r>
      <w:r w:rsidR="000A04C2">
        <w:rPr>
          <w:rFonts w:ascii="Times New Roman" w:hAnsi="Times New Roman" w:cs="Times New Roman"/>
        </w:rPr>
        <w:t>In effect, what Andrews</w:t>
      </w:r>
      <w:r w:rsidR="007E4ECC">
        <w:rPr>
          <w:rFonts w:ascii="Times New Roman" w:hAnsi="Times New Roman" w:cs="Times New Roman"/>
        </w:rPr>
        <w:t>’</w:t>
      </w:r>
      <w:r w:rsidR="000A04C2">
        <w:rPr>
          <w:rFonts w:ascii="Times New Roman" w:hAnsi="Times New Roman" w:cs="Times New Roman"/>
        </w:rPr>
        <w:t xml:space="preserve"> work does is demonstrate </w:t>
      </w:r>
      <w:r w:rsidR="0030464F">
        <w:rPr>
          <w:rFonts w:ascii="Times New Roman" w:hAnsi="Times New Roman" w:cs="Times New Roman"/>
        </w:rPr>
        <w:t>the final nail in the coffin of the</w:t>
      </w:r>
      <w:r w:rsidR="000A04C2">
        <w:rPr>
          <w:rFonts w:ascii="Times New Roman" w:hAnsi="Times New Roman" w:cs="Times New Roman"/>
        </w:rPr>
        <w:t xml:space="preserve"> </w:t>
      </w:r>
      <w:r w:rsidR="000A04C2" w:rsidRPr="005E4A3E">
        <w:rPr>
          <w:rFonts w:ascii="Times New Roman" w:hAnsi="Times New Roman" w:cs="Times New Roman"/>
        </w:rPr>
        <w:t xml:space="preserve">general faith </w:t>
      </w:r>
      <w:r w:rsidR="000A04C2">
        <w:rPr>
          <w:rFonts w:ascii="Times New Roman" w:hAnsi="Times New Roman" w:cs="Times New Roman"/>
        </w:rPr>
        <w:t>in</w:t>
      </w:r>
      <w:r w:rsidR="000A04C2" w:rsidRPr="005E4A3E">
        <w:rPr>
          <w:rFonts w:ascii="Times New Roman" w:hAnsi="Times New Roman" w:cs="Times New Roman"/>
        </w:rPr>
        <w:t xml:space="preserve"> large-scale, holistic spatial intervention</w:t>
      </w:r>
      <w:r w:rsidR="000A04C2">
        <w:rPr>
          <w:rFonts w:ascii="Times New Roman" w:hAnsi="Times New Roman" w:cs="Times New Roman"/>
        </w:rPr>
        <w:t xml:space="preserve"> as a determinant of socio-economic outcomes</w:t>
      </w:r>
      <w:r w:rsidR="0030464F">
        <w:rPr>
          <w:rFonts w:ascii="Times New Roman" w:hAnsi="Times New Roman" w:cs="Times New Roman"/>
        </w:rPr>
        <w:t xml:space="preserve"> that had characterised the </w:t>
      </w:r>
      <w:r w:rsidR="00A3129C">
        <w:rPr>
          <w:rFonts w:ascii="Times New Roman" w:hAnsi="Times New Roman" w:cs="Times New Roman"/>
        </w:rPr>
        <w:t>preceding</w:t>
      </w:r>
      <w:r w:rsidR="0030464F">
        <w:rPr>
          <w:rFonts w:ascii="Times New Roman" w:hAnsi="Times New Roman" w:cs="Times New Roman"/>
        </w:rPr>
        <w:t xml:space="preserve"> four decades.</w:t>
      </w:r>
      <w:r w:rsidR="00A3129C">
        <w:rPr>
          <w:rFonts w:ascii="Times New Roman" w:hAnsi="Times New Roman" w:cs="Times New Roman"/>
        </w:rPr>
        <w:t xml:space="preserve"> Though ‘decline’ as a narrative of twentieth</w:t>
      </w:r>
      <w:r w:rsidR="008D1E20">
        <w:rPr>
          <w:rFonts w:ascii="Times New Roman" w:hAnsi="Times New Roman" w:cs="Times New Roman"/>
        </w:rPr>
        <w:t>-</w:t>
      </w:r>
      <w:r w:rsidR="00A3129C">
        <w:rPr>
          <w:rFonts w:ascii="Times New Roman" w:hAnsi="Times New Roman" w:cs="Times New Roman"/>
        </w:rPr>
        <w:t xml:space="preserve">century Britain has been much challenged by recent scholarship, what Andrews </w:t>
      </w:r>
      <w:r w:rsidR="005436CB">
        <w:rPr>
          <w:rFonts w:ascii="Times New Roman" w:hAnsi="Times New Roman" w:cs="Times New Roman"/>
        </w:rPr>
        <w:t>shows is</w:t>
      </w:r>
      <w:r w:rsidR="00A3129C">
        <w:rPr>
          <w:rFonts w:ascii="Times New Roman" w:hAnsi="Times New Roman" w:cs="Times New Roman"/>
        </w:rPr>
        <w:t xml:space="preserve"> how important </w:t>
      </w:r>
      <w:r w:rsidR="005436CB">
        <w:rPr>
          <w:rFonts w:ascii="Times New Roman" w:hAnsi="Times New Roman" w:cs="Times New Roman"/>
        </w:rPr>
        <w:t>it is to understand the way decline as a narrative was spatialized and formulated into a coherent set of policies and approaches that had serious consequences for the lives and experience of Liverpool’s citizens.</w:t>
      </w:r>
      <w:r w:rsidR="005436CB">
        <w:rPr>
          <w:rStyle w:val="FootnoteReference"/>
          <w:rFonts w:ascii="Times New Roman" w:hAnsi="Times New Roman" w:cs="Times New Roman"/>
        </w:rPr>
        <w:footnoteReference w:id="45"/>
      </w:r>
      <w:r w:rsidR="005436CB">
        <w:rPr>
          <w:rFonts w:ascii="Times New Roman" w:hAnsi="Times New Roman" w:cs="Times New Roman"/>
        </w:rPr>
        <w:t xml:space="preserve"> </w:t>
      </w:r>
    </w:p>
    <w:p w14:paraId="5CE93607" w14:textId="6B9C8170" w:rsidR="00A9419D" w:rsidRPr="005E4A3E" w:rsidRDefault="0086308B" w:rsidP="00732322">
      <w:pPr>
        <w:spacing w:line="480" w:lineRule="auto"/>
        <w:jc w:val="both"/>
        <w:rPr>
          <w:rFonts w:ascii="Times New Roman" w:hAnsi="Times New Roman" w:cs="Times New Roman"/>
        </w:rPr>
      </w:pPr>
      <w:r>
        <w:rPr>
          <w:rFonts w:ascii="Times New Roman" w:hAnsi="Times New Roman" w:cs="Times New Roman"/>
        </w:rPr>
        <w:t xml:space="preserve"> </w:t>
      </w:r>
    </w:p>
    <w:p w14:paraId="79CA8641" w14:textId="6D912F28" w:rsidR="00A9419D" w:rsidRPr="005E4A3E" w:rsidRDefault="00A9419D" w:rsidP="00732322">
      <w:pPr>
        <w:spacing w:line="480" w:lineRule="auto"/>
        <w:jc w:val="both"/>
        <w:rPr>
          <w:rFonts w:ascii="Times New Roman" w:hAnsi="Times New Roman" w:cs="Times New Roman"/>
          <w:b/>
        </w:rPr>
      </w:pPr>
      <w:r w:rsidRPr="005E4A3E">
        <w:rPr>
          <w:rFonts w:ascii="Times New Roman" w:hAnsi="Times New Roman" w:cs="Times New Roman"/>
          <w:b/>
        </w:rPr>
        <w:t>Conclusion</w:t>
      </w:r>
    </w:p>
    <w:p w14:paraId="75CB1673" w14:textId="77777777" w:rsidR="00A9419D" w:rsidRDefault="00A9419D" w:rsidP="00732322">
      <w:pPr>
        <w:spacing w:line="480" w:lineRule="auto"/>
        <w:jc w:val="both"/>
        <w:rPr>
          <w:rFonts w:ascii="Times New Roman" w:hAnsi="Times New Roman" w:cs="Times New Roman"/>
        </w:rPr>
      </w:pPr>
    </w:p>
    <w:p w14:paraId="0B2942F9" w14:textId="70F90FAF" w:rsidR="00A9419D" w:rsidRPr="005E4A3E" w:rsidRDefault="00A54206" w:rsidP="00732322">
      <w:pPr>
        <w:spacing w:line="480" w:lineRule="auto"/>
        <w:jc w:val="both"/>
        <w:rPr>
          <w:rFonts w:ascii="Times New Roman" w:hAnsi="Times New Roman" w:cs="Times New Roman"/>
        </w:rPr>
      </w:pPr>
      <w:r>
        <w:rPr>
          <w:rFonts w:ascii="Times New Roman" w:hAnsi="Times New Roman" w:cs="Times New Roman"/>
        </w:rPr>
        <w:t xml:space="preserve">The theses surveyed here </w:t>
      </w:r>
      <w:r w:rsidR="00196B02">
        <w:rPr>
          <w:rFonts w:ascii="Times New Roman" w:hAnsi="Times New Roman" w:cs="Times New Roman"/>
        </w:rPr>
        <w:t xml:space="preserve">all </w:t>
      </w:r>
      <w:r>
        <w:rPr>
          <w:rFonts w:ascii="Times New Roman" w:hAnsi="Times New Roman" w:cs="Times New Roman"/>
        </w:rPr>
        <w:t>tell different parts of the story of urban change in post-war Britain</w:t>
      </w:r>
      <w:r w:rsidR="00395A10">
        <w:rPr>
          <w:rFonts w:ascii="Times New Roman" w:hAnsi="Times New Roman" w:cs="Times New Roman"/>
        </w:rPr>
        <w:t>,  a story that revolves around</w:t>
      </w:r>
      <w:r>
        <w:rPr>
          <w:rFonts w:ascii="Times New Roman" w:hAnsi="Times New Roman" w:cs="Times New Roman"/>
        </w:rPr>
        <w:t xml:space="preserve"> the rise and fall of urban modernism as the dominant philosophy shaping approaches to remaking and governing the built environment.</w:t>
      </w:r>
      <w:r w:rsidR="00DE72F3">
        <w:rPr>
          <w:rFonts w:ascii="Times New Roman" w:hAnsi="Times New Roman" w:cs="Times New Roman"/>
        </w:rPr>
        <w:t xml:space="preserve"> </w:t>
      </w:r>
      <w:r>
        <w:rPr>
          <w:rFonts w:ascii="Times New Roman" w:hAnsi="Times New Roman" w:cs="Times New Roman"/>
        </w:rPr>
        <w:t>That these theses have added another layer of nuance to a view of modernism that all-to-often appears to have been a monolithic, homogenous process</w:t>
      </w:r>
      <w:r w:rsidR="00395A10">
        <w:rPr>
          <w:rFonts w:ascii="Times New Roman" w:hAnsi="Times New Roman" w:cs="Times New Roman"/>
        </w:rPr>
        <w:t xml:space="preserve"> illustrates </w:t>
      </w:r>
      <w:r>
        <w:rPr>
          <w:rFonts w:ascii="Times New Roman" w:hAnsi="Times New Roman" w:cs="Times New Roman"/>
        </w:rPr>
        <w:t>the continuing importance of the study of this period of history</w:t>
      </w:r>
      <w:r w:rsidR="00395A10">
        <w:rPr>
          <w:rFonts w:ascii="Times New Roman" w:hAnsi="Times New Roman" w:cs="Times New Roman"/>
        </w:rPr>
        <w:t xml:space="preserve"> for </w:t>
      </w:r>
      <w:r w:rsidR="003F4556">
        <w:rPr>
          <w:rFonts w:ascii="Times New Roman" w:hAnsi="Times New Roman" w:cs="Times New Roman"/>
        </w:rPr>
        <w:t>specialists in the field</w:t>
      </w:r>
      <w:r>
        <w:rPr>
          <w:rFonts w:ascii="Times New Roman" w:hAnsi="Times New Roman" w:cs="Times New Roman"/>
        </w:rPr>
        <w:t>.</w:t>
      </w:r>
      <w:r w:rsidR="003F4556">
        <w:rPr>
          <w:rFonts w:ascii="Times New Roman" w:hAnsi="Times New Roman" w:cs="Times New Roman"/>
        </w:rPr>
        <w:t xml:space="preserve"> Indeed, as Rivera’s study of housing provision in the New Towns explicitly shows, the continuing relevance of understanding this period lies not merely in historical curiosity, but in the still-relevant lessons planners and politicians of today can learn from the detailed examination of the successes and failures of this ambitious period. In an era of ongoing housing crisis, environmental challenges – harshly exposed by </w:t>
      </w:r>
      <w:r w:rsidR="0067240C">
        <w:rPr>
          <w:rFonts w:ascii="Times New Roman" w:hAnsi="Times New Roman" w:cs="Times New Roman"/>
        </w:rPr>
        <w:t xml:space="preserve">the fragility of urban life during </w:t>
      </w:r>
      <w:r w:rsidR="003F4556">
        <w:rPr>
          <w:rFonts w:ascii="Times New Roman" w:hAnsi="Times New Roman" w:cs="Times New Roman"/>
        </w:rPr>
        <w:t>recent heatwaves</w:t>
      </w:r>
      <w:r w:rsidR="0067240C">
        <w:rPr>
          <w:rFonts w:ascii="Times New Roman" w:hAnsi="Times New Roman" w:cs="Times New Roman"/>
        </w:rPr>
        <w:t xml:space="preserve">, </w:t>
      </w:r>
      <w:r w:rsidR="003F4556">
        <w:rPr>
          <w:rFonts w:ascii="Times New Roman" w:hAnsi="Times New Roman" w:cs="Times New Roman"/>
        </w:rPr>
        <w:t>flooding</w:t>
      </w:r>
      <w:r w:rsidR="0067240C">
        <w:rPr>
          <w:rFonts w:ascii="Times New Roman" w:hAnsi="Times New Roman" w:cs="Times New Roman"/>
        </w:rPr>
        <w:t xml:space="preserve"> and global pandemics</w:t>
      </w:r>
      <w:r w:rsidR="003F4556">
        <w:rPr>
          <w:rFonts w:ascii="Times New Roman" w:hAnsi="Times New Roman" w:cs="Times New Roman"/>
        </w:rPr>
        <w:t xml:space="preserve"> – and persistent questions over inequality, the work produced here seems remarkably current.</w:t>
      </w:r>
      <w:r w:rsidR="0067240C">
        <w:rPr>
          <w:rFonts w:ascii="Times New Roman" w:hAnsi="Times New Roman" w:cs="Times New Roman"/>
        </w:rPr>
        <w:t xml:space="preserve"> Yet these theses illustrate the value of their respective fields beyond their immediate disciplines. T</w:t>
      </w:r>
      <w:r w:rsidR="00DE72F3">
        <w:rPr>
          <w:rFonts w:ascii="Times New Roman" w:hAnsi="Times New Roman" w:cs="Times New Roman"/>
        </w:rPr>
        <w:t>aken together, they track the story of a belief that the central issues of twentieth</w:t>
      </w:r>
      <w:r w:rsidR="008D1E20">
        <w:rPr>
          <w:rFonts w:ascii="Times New Roman" w:hAnsi="Times New Roman" w:cs="Times New Roman"/>
        </w:rPr>
        <w:t>-</w:t>
      </w:r>
      <w:r w:rsidR="00DE72F3">
        <w:rPr>
          <w:rFonts w:ascii="Times New Roman" w:hAnsi="Times New Roman" w:cs="Times New Roman"/>
        </w:rPr>
        <w:t>century British life – issues like forming stable communities, dealing with employment and deindustrialisation, catering to emerging patterns of consumerism, and balancing the demands of society with increasing individualism – could be solved through the production of the right types of spaces. In doing so these histories of architecture and town planning speak to the central concerns of British history in unique ways.</w:t>
      </w:r>
      <w:r w:rsidR="00395A10">
        <w:rPr>
          <w:rFonts w:ascii="Times New Roman" w:hAnsi="Times New Roman" w:cs="Times New Roman"/>
        </w:rPr>
        <w:t xml:space="preserve"> Indeed, </w:t>
      </w:r>
      <w:r w:rsidR="008D1E20">
        <w:rPr>
          <w:rFonts w:ascii="Times New Roman" w:hAnsi="Times New Roman" w:cs="Times New Roman"/>
        </w:rPr>
        <w:t>although in this review</w:t>
      </w:r>
      <w:r w:rsidR="00395A10">
        <w:rPr>
          <w:rFonts w:ascii="Times New Roman" w:hAnsi="Times New Roman" w:cs="Times New Roman"/>
        </w:rPr>
        <w:t xml:space="preserve"> I have focused largely on metanarratives of deindustrialisation, consumerism and </w:t>
      </w:r>
      <w:r w:rsidR="0067240C">
        <w:rPr>
          <w:rFonts w:ascii="Times New Roman" w:hAnsi="Times New Roman" w:cs="Times New Roman"/>
        </w:rPr>
        <w:t xml:space="preserve">decline there is much in these theses that might contribute to many of the other ‘big questions’ that preoccupy British historians. </w:t>
      </w:r>
      <w:r w:rsidR="00CE3C31">
        <w:rPr>
          <w:rFonts w:ascii="Times New Roman" w:hAnsi="Times New Roman" w:cs="Times New Roman"/>
        </w:rPr>
        <w:t xml:space="preserve">There is, for example, much that might engage with David Edgerton’s formulation of the post-war British nation as a ‘developmental state’, or respond to Guy Ortolano’s call to rethink the </w:t>
      </w:r>
      <w:r w:rsidR="00CE3C31">
        <w:rPr>
          <w:rFonts w:ascii="Times New Roman" w:hAnsi="Times New Roman" w:cs="Times New Roman"/>
        </w:rPr>
        <w:lastRenderedPageBreak/>
        <w:t>standard narrative of social democratic collapse.</w:t>
      </w:r>
      <w:r w:rsidR="00CE3C31">
        <w:rPr>
          <w:rStyle w:val="FootnoteReference"/>
          <w:rFonts w:ascii="Times New Roman" w:hAnsi="Times New Roman" w:cs="Times New Roman"/>
        </w:rPr>
        <w:footnoteReference w:id="46"/>
      </w:r>
      <w:r w:rsidR="00CE3C31">
        <w:rPr>
          <w:rFonts w:ascii="Times New Roman" w:hAnsi="Times New Roman" w:cs="Times New Roman"/>
        </w:rPr>
        <w:t xml:space="preserve"> </w:t>
      </w:r>
      <w:r w:rsidR="00A9419D" w:rsidRPr="005E4A3E">
        <w:rPr>
          <w:rFonts w:ascii="Times New Roman" w:hAnsi="Times New Roman" w:cs="Times New Roman"/>
        </w:rPr>
        <w:t>It might</w:t>
      </w:r>
      <w:r w:rsidR="000B49B2">
        <w:rPr>
          <w:rFonts w:ascii="Times New Roman" w:hAnsi="Times New Roman" w:cs="Times New Roman"/>
        </w:rPr>
        <w:t xml:space="preserve">, </w:t>
      </w:r>
      <w:r w:rsidR="00DE72F3">
        <w:rPr>
          <w:rFonts w:ascii="Times New Roman" w:hAnsi="Times New Roman" w:cs="Times New Roman"/>
        </w:rPr>
        <w:t>nevertheless</w:t>
      </w:r>
      <w:r w:rsidR="000B49B2">
        <w:rPr>
          <w:rFonts w:ascii="Times New Roman" w:hAnsi="Times New Roman" w:cs="Times New Roman"/>
        </w:rPr>
        <w:t>,</w:t>
      </w:r>
      <w:r w:rsidR="00C029FC">
        <w:rPr>
          <w:rFonts w:ascii="Times New Roman" w:hAnsi="Times New Roman" w:cs="Times New Roman"/>
        </w:rPr>
        <w:t xml:space="preserve"> still</w:t>
      </w:r>
      <w:r w:rsidR="00A9419D" w:rsidRPr="005E4A3E">
        <w:rPr>
          <w:rFonts w:ascii="Times New Roman" w:hAnsi="Times New Roman" w:cs="Times New Roman"/>
        </w:rPr>
        <w:t xml:space="preserve"> be a little unfair to saddle this </w:t>
      </w:r>
      <w:r>
        <w:rPr>
          <w:rFonts w:ascii="Times New Roman" w:hAnsi="Times New Roman" w:cs="Times New Roman"/>
        </w:rPr>
        <w:t xml:space="preserve">mixed </w:t>
      </w:r>
      <w:r w:rsidR="00A9419D" w:rsidRPr="005E4A3E">
        <w:rPr>
          <w:rFonts w:ascii="Times New Roman" w:hAnsi="Times New Roman" w:cs="Times New Roman"/>
        </w:rPr>
        <w:t xml:space="preserve">group of </w:t>
      </w:r>
      <w:r>
        <w:rPr>
          <w:rFonts w:ascii="Times New Roman" w:hAnsi="Times New Roman" w:cs="Times New Roman"/>
        </w:rPr>
        <w:t>early</w:t>
      </w:r>
      <w:r w:rsidR="00C029FC">
        <w:rPr>
          <w:rFonts w:ascii="Times New Roman" w:hAnsi="Times New Roman" w:cs="Times New Roman"/>
        </w:rPr>
        <w:t>-</w:t>
      </w:r>
      <w:r>
        <w:rPr>
          <w:rFonts w:ascii="Times New Roman" w:hAnsi="Times New Roman" w:cs="Times New Roman"/>
        </w:rPr>
        <w:t xml:space="preserve">career researchers </w:t>
      </w:r>
      <w:r w:rsidR="000B49B2">
        <w:rPr>
          <w:rFonts w:ascii="Times New Roman" w:hAnsi="Times New Roman" w:cs="Times New Roman"/>
        </w:rPr>
        <w:t>with the label</w:t>
      </w:r>
      <w:r w:rsidR="00A9419D" w:rsidRPr="005E4A3E">
        <w:rPr>
          <w:rFonts w:ascii="Times New Roman" w:hAnsi="Times New Roman" w:cs="Times New Roman"/>
        </w:rPr>
        <w:t xml:space="preserve"> </w:t>
      </w:r>
      <w:r w:rsidR="000B49B2">
        <w:rPr>
          <w:rFonts w:ascii="Times New Roman" w:hAnsi="Times New Roman" w:cs="Times New Roman"/>
        </w:rPr>
        <w:t>a ‘</w:t>
      </w:r>
      <w:r w:rsidR="00A9419D" w:rsidRPr="005E4A3E">
        <w:rPr>
          <w:rFonts w:ascii="Times New Roman" w:hAnsi="Times New Roman" w:cs="Times New Roman"/>
        </w:rPr>
        <w:t>new urban social history</w:t>
      </w:r>
      <w:r w:rsidR="000B49B2">
        <w:rPr>
          <w:rFonts w:ascii="Times New Roman" w:hAnsi="Times New Roman" w:cs="Times New Roman"/>
        </w:rPr>
        <w:t>’</w:t>
      </w:r>
      <w:r w:rsidR="00A9419D" w:rsidRPr="005E4A3E">
        <w:rPr>
          <w:rFonts w:ascii="Times New Roman" w:hAnsi="Times New Roman" w:cs="Times New Roman"/>
        </w:rPr>
        <w:t xml:space="preserve">. Indeed, doing so risks underestimating the variety of approaches and unique qualities of each of these theses, which come from a range of different disciplinary backgrounds. </w:t>
      </w:r>
      <w:r w:rsidR="000B49B2">
        <w:rPr>
          <w:rFonts w:ascii="Times New Roman" w:hAnsi="Times New Roman" w:cs="Times New Roman"/>
        </w:rPr>
        <w:t xml:space="preserve">However, </w:t>
      </w:r>
      <w:r w:rsidR="00924FDF">
        <w:rPr>
          <w:rFonts w:ascii="Times New Roman" w:hAnsi="Times New Roman" w:cs="Times New Roman"/>
        </w:rPr>
        <w:t xml:space="preserve">here </w:t>
      </w:r>
      <w:r w:rsidR="00C029FC">
        <w:rPr>
          <w:rFonts w:ascii="Times New Roman" w:hAnsi="Times New Roman" w:cs="Times New Roman"/>
        </w:rPr>
        <w:t>the label seems apposite, because</w:t>
      </w:r>
      <w:r w:rsidR="000B49B2">
        <w:rPr>
          <w:rFonts w:ascii="Times New Roman" w:hAnsi="Times New Roman" w:cs="Times New Roman"/>
        </w:rPr>
        <w:t xml:space="preserve"> each goes beyond considerations of mere design or urban form for their own sake</w:t>
      </w:r>
      <w:r w:rsidR="00924FDF">
        <w:rPr>
          <w:rFonts w:ascii="Times New Roman" w:hAnsi="Times New Roman" w:cs="Times New Roman"/>
        </w:rPr>
        <w:t xml:space="preserve">. In doing so each </w:t>
      </w:r>
      <w:r w:rsidR="000B49B2">
        <w:rPr>
          <w:rFonts w:ascii="Times New Roman" w:hAnsi="Times New Roman" w:cs="Times New Roman"/>
        </w:rPr>
        <w:t xml:space="preserve">makes a genuine intervention </w:t>
      </w:r>
      <w:r w:rsidR="00924FDF">
        <w:rPr>
          <w:rFonts w:ascii="Times New Roman" w:hAnsi="Times New Roman" w:cs="Times New Roman"/>
        </w:rPr>
        <w:t xml:space="preserve">in </w:t>
      </w:r>
      <w:r w:rsidR="000B49B2">
        <w:rPr>
          <w:rFonts w:ascii="Times New Roman" w:hAnsi="Times New Roman" w:cs="Times New Roman"/>
        </w:rPr>
        <w:t>narratives of twentieth</w:t>
      </w:r>
      <w:r w:rsidR="008D1E20">
        <w:rPr>
          <w:rFonts w:ascii="Times New Roman" w:hAnsi="Times New Roman" w:cs="Times New Roman"/>
        </w:rPr>
        <w:t>-</w:t>
      </w:r>
      <w:r w:rsidR="000B49B2">
        <w:rPr>
          <w:rFonts w:ascii="Times New Roman" w:hAnsi="Times New Roman" w:cs="Times New Roman"/>
        </w:rPr>
        <w:t xml:space="preserve">century Britain that </w:t>
      </w:r>
      <w:r w:rsidR="00C029FC">
        <w:rPr>
          <w:rFonts w:ascii="Times New Roman" w:hAnsi="Times New Roman" w:cs="Times New Roman"/>
        </w:rPr>
        <w:t>does not merely augment social and cultural histories, but illustrate</w:t>
      </w:r>
      <w:r w:rsidR="00924FDF">
        <w:rPr>
          <w:rFonts w:ascii="Times New Roman" w:hAnsi="Times New Roman" w:cs="Times New Roman"/>
        </w:rPr>
        <w:t>s</w:t>
      </w:r>
      <w:r w:rsidR="00C029FC">
        <w:rPr>
          <w:rFonts w:ascii="Times New Roman" w:hAnsi="Times New Roman" w:cs="Times New Roman"/>
        </w:rPr>
        <w:t xml:space="preserve"> the centrality of </w:t>
      </w:r>
      <w:r w:rsidR="000B49B2">
        <w:rPr>
          <w:rFonts w:ascii="Times New Roman" w:hAnsi="Times New Roman" w:cs="Times New Roman"/>
        </w:rPr>
        <w:t>the examination of urban space and those who inhabit it</w:t>
      </w:r>
      <w:r w:rsidR="00C029FC">
        <w:rPr>
          <w:rFonts w:ascii="Times New Roman" w:hAnsi="Times New Roman" w:cs="Times New Roman"/>
        </w:rPr>
        <w:t xml:space="preserve"> to understanding the past</w:t>
      </w:r>
      <w:r w:rsidR="000B49B2">
        <w:rPr>
          <w:rFonts w:ascii="Times New Roman" w:hAnsi="Times New Roman" w:cs="Times New Roman"/>
        </w:rPr>
        <w:t xml:space="preserve">.  </w:t>
      </w:r>
      <w:r>
        <w:rPr>
          <w:rFonts w:ascii="Times New Roman" w:hAnsi="Times New Roman" w:cs="Times New Roman"/>
        </w:rPr>
        <w:t xml:space="preserve"> </w:t>
      </w:r>
    </w:p>
    <w:sectPr w:rsidR="00A9419D" w:rsidRPr="005E4A3E" w:rsidSect="003767DD">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5D517" w14:textId="77777777" w:rsidR="005C2D68" w:rsidRDefault="005C2D68" w:rsidP="00F4690E">
      <w:r>
        <w:separator/>
      </w:r>
    </w:p>
  </w:endnote>
  <w:endnote w:type="continuationSeparator" w:id="0">
    <w:p w14:paraId="4EE7588A" w14:textId="77777777" w:rsidR="005C2D68" w:rsidRDefault="005C2D68" w:rsidP="00F46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35783479"/>
      <w:docPartObj>
        <w:docPartGallery w:val="Page Numbers (Bottom of Page)"/>
        <w:docPartUnique/>
      </w:docPartObj>
    </w:sdtPr>
    <w:sdtEndPr>
      <w:rPr>
        <w:rStyle w:val="PageNumber"/>
      </w:rPr>
    </w:sdtEndPr>
    <w:sdtContent>
      <w:p w14:paraId="58616E53" w14:textId="1C3ADEED" w:rsidR="00732322" w:rsidRDefault="00732322" w:rsidP="00560E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236EE0" w14:textId="77777777" w:rsidR="00732322" w:rsidRDefault="00732322" w:rsidP="007323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09458294"/>
      <w:docPartObj>
        <w:docPartGallery w:val="Page Numbers (Bottom of Page)"/>
        <w:docPartUnique/>
      </w:docPartObj>
    </w:sdtPr>
    <w:sdtEndPr>
      <w:rPr>
        <w:rStyle w:val="PageNumber"/>
      </w:rPr>
    </w:sdtEndPr>
    <w:sdtContent>
      <w:p w14:paraId="2CC7F2B6" w14:textId="77A69CDE" w:rsidR="00732322" w:rsidRDefault="00732322" w:rsidP="00560E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45D9F8" w14:textId="77777777" w:rsidR="00732322" w:rsidRDefault="00732322" w:rsidP="0073232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9E0F6" w14:textId="77777777" w:rsidR="005C2D68" w:rsidRDefault="005C2D68" w:rsidP="00F4690E">
      <w:r>
        <w:separator/>
      </w:r>
    </w:p>
  </w:footnote>
  <w:footnote w:type="continuationSeparator" w:id="0">
    <w:p w14:paraId="221A1CC8" w14:textId="77777777" w:rsidR="005C2D68" w:rsidRDefault="005C2D68" w:rsidP="00F4690E">
      <w:r>
        <w:continuationSeparator/>
      </w:r>
    </w:p>
  </w:footnote>
  <w:footnote w:id="1">
    <w:p w14:paraId="136B7758" w14:textId="32278802"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It is common to label the immediate post-war</w:t>
      </w:r>
      <w:r w:rsidR="00B20CD2">
        <w:rPr>
          <w:rFonts w:ascii="Times New Roman" w:hAnsi="Times New Roman" w:cs="Times New Roman"/>
          <w:sz w:val="20"/>
          <w:szCs w:val="20"/>
        </w:rPr>
        <w:t xml:space="preserve"> period?</w:t>
      </w:r>
      <w:r w:rsidRPr="00FB7F9C">
        <w:rPr>
          <w:rFonts w:ascii="Times New Roman" w:hAnsi="Times New Roman" w:cs="Times New Roman"/>
          <w:sz w:val="20"/>
          <w:szCs w:val="20"/>
        </w:rPr>
        <w:t>, running until anything from the early 1950s to 1960, as ‘reconstruction’ or ‘rebuilding’, the subsequent period until the late 1970s is then seen distinctly as ‘renewal’, although these are not uniform usages. As John Gold has observed</w:t>
      </w:r>
      <w:r w:rsidR="00EC6D3D">
        <w:rPr>
          <w:rFonts w:ascii="Times New Roman" w:hAnsi="Times New Roman" w:cs="Times New Roman"/>
          <w:sz w:val="20"/>
          <w:szCs w:val="20"/>
        </w:rPr>
        <w:t>,</w:t>
      </w:r>
      <w:r w:rsidRPr="00FB7F9C">
        <w:rPr>
          <w:rFonts w:ascii="Times New Roman" w:hAnsi="Times New Roman" w:cs="Times New Roman"/>
          <w:sz w:val="20"/>
          <w:szCs w:val="20"/>
        </w:rPr>
        <w:t xml:space="preserve"> the post-war was a period when the ‘re’ prefix (adding regeneration, redevelopment, </w:t>
      </w:r>
      <w:proofErr w:type="spellStart"/>
      <w:r w:rsidRPr="00FB7F9C">
        <w:rPr>
          <w:rFonts w:ascii="Times New Roman" w:hAnsi="Times New Roman" w:cs="Times New Roman"/>
          <w:sz w:val="20"/>
          <w:szCs w:val="20"/>
        </w:rPr>
        <w:t>replanning</w:t>
      </w:r>
      <w:proofErr w:type="spellEnd"/>
      <w:r w:rsidR="00FB7F9C">
        <w:rPr>
          <w:rFonts w:ascii="Times New Roman" w:hAnsi="Times New Roman" w:cs="Times New Roman"/>
          <w:sz w:val="20"/>
          <w:szCs w:val="20"/>
        </w:rPr>
        <w:t>, remaking</w:t>
      </w:r>
      <w:r w:rsidRPr="00FB7F9C">
        <w:rPr>
          <w:rFonts w:ascii="Times New Roman" w:hAnsi="Times New Roman" w:cs="Times New Roman"/>
          <w:sz w:val="20"/>
          <w:szCs w:val="20"/>
        </w:rPr>
        <w:t xml:space="preserve"> etc.) flourished. John Gold ‘British Urban Renewal,1951-1970’, paper given at </w:t>
      </w:r>
      <w:r w:rsidRPr="00FB7F9C">
        <w:rPr>
          <w:rFonts w:ascii="Times New Roman" w:hAnsi="Times New Roman" w:cs="Times New Roman"/>
          <w:i/>
          <w:sz w:val="20"/>
          <w:szCs w:val="20"/>
        </w:rPr>
        <w:t>The Transformations of Urban Britain Since 1945</w:t>
      </w:r>
      <w:r w:rsidRPr="00FB7F9C">
        <w:rPr>
          <w:rFonts w:ascii="Times New Roman" w:hAnsi="Times New Roman" w:cs="Times New Roman"/>
          <w:sz w:val="20"/>
          <w:szCs w:val="20"/>
        </w:rPr>
        <w:t xml:space="preserve"> conference, University of Leicester, 9 Jul</w:t>
      </w:r>
      <w:r w:rsidR="00B20CD2">
        <w:rPr>
          <w:rFonts w:ascii="Times New Roman" w:hAnsi="Times New Roman" w:cs="Times New Roman"/>
          <w:sz w:val="20"/>
          <w:szCs w:val="20"/>
        </w:rPr>
        <w:t>.</w:t>
      </w:r>
      <w:r w:rsidRPr="00FB7F9C">
        <w:rPr>
          <w:rFonts w:ascii="Times New Roman" w:hAnsi="Times New Roman" w:cs="Times New Roman"/>
          <w:sz w:val="20"/>
          <w:szCs w:val="20"/>
        </w:rPr>
        <w:t xml:space="preserve"> 2013. Here I have generally favoured ‘redevelopment’ as a catch-all term for the collection of town planning and infrastructural development projects that broadly took place after the Second World War. </w:t>
      </w:r>
    </w:p>
  </w:footnote>
  <w:footnote w:id="2">
    <w:p w14:paraId="3F3063B8" w14:textId="1DDBA6C9"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Recent publications illustrating the still-vibrant interest in this subject include: J. Clark and V. Wright, ‘Urban regeneration in Glasgow: looking to the past to build the future? The case of the “New Gorbals”’, in J. Clark and N. Wise (eds.), </w:t>
      </w:r>
      <w:r w:rsidRPr="00FB7F9C">
        <w:rPr>
          <w:rFonts w:ascii="Times New Roman" w:hAnsi="Times New Roman" w:cs="Times New Roman"/>
          <w:i/>
          <w:sz w:val="20"/>
          <w:szCs w:val="20"/>
        </w:rPr>
        <w:t>Urban</w:t>
      </w:r>
      <w:r w:rsidRPr="00FB7F9C">
        <w:rPr>
          <w:rFonts w:ascii="Times New Roman" w:hAnsi="Times New Roman" w:cs="Times New Roman"/>
          <w:sz w:val="20"/>
          <w:szCs w:val="20"/>
        </w:rPr>
        <w:t xml:space="preserve"> </w:t>
      </w:r>
      <w:r w:rsidRPr="00FB7F9C">
        <w:rPr>
          <w:rFonts w:ascii="Times New Roman" w:hAnsi="Times New Roman" w:cs="Times New Roman"/>
          <w:i/>
          <w:sz w:val="20"/>
          <w:szCs w:val="20"/>
        </w:rPr>
        <w:t>Renewal, Community and Participation</w:t>
      </w:r>
      <w:r w:rsidRPr="00FB7F9C">
        <w:rPr>
          <w:rFonts w:ascii="Times New Roman" w:hAnsi="Times New Roman" w:cs="Times New Roman"/>
          <w:sz w:val="20"/>
          <w:szCs w:val="20"/>
        </w:rPr>
        <w:t xml:space="preserve"> (London, 2018), 45–70; C. Flinn, </w:t>
      </w:r>
      <w:r w:rsidRPr="00FB7F9C">
        <w:rPr>
          <w:rFonts w:ascii="Times New Roman" w:hAnsi="Times New Roman" w:cs="Times New Roman"/>
          <w:i/>
          <w:sz w:val="20"/>
          <w:szCs w:val="20"/>
        </w:rPr>
        <w:t>Rebuilding Britain’s Blitzed Cities: Hopeful Dreams, Stark Realities</w:t>
      </w:r>
      <w:r w:rsidRPr="00FB7F9C">
        <w:rPr>
          <w:rFonts w:ascii="Times New Roman" w:hAnsi="Times New Roman" w:cs="Times New Roman"/>
          <w:sz w:val="20"/>
          <w:szCs w:val="20"/>
        </w:rPr>
        <w:t xml:space="preserve"> (London, 2018); James Greenhalgh, </w:t>
      </w:r>
      <w:r w:rsidRPr="00FB7F9C">
        <w:rPr>
          <w:rFonts w:ascii="Times New Roman" w:hAnsi="Times New Roman" w:cs="Times New Roman"/>
          <w:i/>
          <w:sz w:val="20"/>
          <w:szCs w:val="20"/>
        </w:rPr>
        <w:t>Reconstructing Modernity: Space, Power and Governance in Mid-Twentieth Century British Cities</w:t>
      </w:r>
      <w:r w:rsidRPr="00FB7F9C">
        <w:rPr>
          <w:rFonts w:ascii="Times New Roman" w:hAnsi="Times New Roman" w:cs="Times New Roman"/>
          <w:sz w:val="20"/>
          <w:szCs w:val="20"/>
        </w:rPr>
        <w:t xml:space="preserve"> (Manchester, 2018); Otto Saumarez </w:t>
      </w:r>
      <w:r w:rsidR="00FB7F9C" w:rsidRPr="00FB7F9C">
        <w:rPr>
          <w:rFonts w:ascii="Times New Roman" w:hAnsi="Times New Roman" w:cs="Times New Roman"/>
          <w:sz w:val="20"/>
          <w:szCs w:val="20"/>
        </w:rPr>
        <w:t>Smith,</w:t>
      </w:r>
      <w:r w:rsidR="00FB7F9C" w:rsidRPr="00FB7F9C">
        <w:rPr>
          <w:rFonts w:ascii="Times New Roman" w:hAnsi="Times New Roman" w:cs="Times New Roman"/>
          <w:i/>
          <w:sz w:val="20"/>
          <w:szCs w:val="20"/>
        </w:rPr>
        <w:t xml:space="preserve"> </w:t>
      </w:r>
      <w:r w:rsidR="00FB7F9C" w:rsidRPr="00FB7F9C">
        <w:rPr>
          <w:rFonts w:ascii="Times New Roman" w:hAnsi="Times New Roman" w:cs="Times New Roman"/>
          <w:sz w:val="20"/>
          <w:szCs w:val="20"/>
        </w:rPr>
        <w:t>‘Central</w:t>
      </w:r>
      <w:r w:rsidRPr="00FB7F9C">
        <w:rPr>
          <w:rFonts w:ascii="Times New Roman" w:hAnsi="Times New Roman" w:cs="Times New Roman"/>
          <w:sz w:val="20"/>
          <w:szCs w:val="20"/>
        </w:rPr>
        <w:t xml:space="preserve"> government and town centre redevelopment, 1959</w:t>
      </w:r>
      <w:r w:rsidR="00EC6D3D">
        <w:rPr>
          <w:rFonts w:ascii="Times New Roman" w:hAnsi="Times New Roman" w:cs="Times New Roman"/>
          <w:sz w:val="20"/>
          <w:szCs w:val="20"/>
        </w:rPr>
        <w:t>–</w:t>
      </w:r>
      <w:r w:rsidRPr="00FB7F9C">
        <w:rPr>
          <w:rFonts w:ascii="Times New Roman" w:hAnsi="Times New Roman" w:cs="Times New Roman"/>
          <w:sz w:val="20"/>
          <w:szCs w:val="20"/>
        </w:rPr>
        <w:t>1966’</w:t>
      </w:r>
      <w:r w:rsidRPr="00FB7F9C">
        <w:rPr>
          <w:rFonts w:ascii="Times New Roman" w:hAnsi="Times New Roman" w:cs="Times New Roman"/>
          <w:i/>
          <w:sz w:val="20"/>
          <w:szCs w:val="20"/>
        </w:rPr>
        <w:t xml:space="preserve">, Historical Journal, </w:t>
      </w:r>
      <w:r w:rsidRPr="00FB7F9C">
        <w:rPr>
          <w:rFonts w:ascii="Times New Roman" w:hAnsi="Times New Roman" w:cs="Times New Roman"/>
          <w:sz w:val="20"/>
          <w:szCs w:val="20"/>
        </w:rPr>
        <w:t>58:1 (2015), 217–44.</w:t>
      </w:r>
    </w:p>
  </w:footnote>
  <w:footnote w:id="3">
    <w:p w14:paraId="6DF14C1B" w14:textId="051E9C63"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N. Bullock, </w:t>
      </w:r>
      <w:r w:rsidRPr="00FB7F9C">
        <w:rPr>
          <w:rFonts w:ascii="Times New Roman" w:hAnsi="Times New Roman" w:cs="Times New Roman"/>
          <w:i/>
          <w:sz w:val="20"/>
          <w:szCs w:val="20"/>
        </w:rPr>
        <w:t xml:space="preserve">Building the Post-War World: Modern Architecture and Reconstruction in Britain </w:t>
      </w:r>
      <w:r w:rsidRPr="00FB7F9C">
        <w:rPr>
          <w:rFonts w:ascii="Times New Roman" w:hAnsi="Times New Roman" w:cs="Times New Roman"/>
          <w:sz w:val="20"/>
          <w:szCs w:val="20"/>
        </w:rPr>
        <w:t xml:space="preserve">(London, 2002); G. Cherry, </w:t>
      </w:r>
      <w:r w:rsidRPr="00FB7F9C">
        <w:rPr>
          <w:rFonts w:ascii="Times New Roman" w:hAnsi="Times New Roman" w:cs="Times New Roman"/>
          <w:i/>
          <w:sz w:val="20"/>
          <w:szCs w:val="20"/>
        </w:rPr>
        <w:t>Cities and Plans: The Shaping of Urban Britain in the Nineteenth and Twentieth Centuries</w:t>
      </w:r>
      <w:r w:rsidRPr="00FB7F9C">
        <w:rPr>
          <w:rFonts w:ascii="Times New Roman" w:hAnsi="Times New Roman" w:cs="Times New Roman"/>
          <w:sz w:val="20"/>
          <w:szCs w:val="20"/>
        </w:rPr>
        <w:t xml:space="preserve"> (London, 1988);</w:t>
      </w:r>
      <w:r w:rsidRPr="00FB7F9C">
        <w:rPr>
          <w:rFonts w:ascii="Times New Roman" w:hAnsi="Times New Roman" w:cs="Times New Roman"/>
          <w:noProof/>
          <w:sz w:val="20"/>
          <w:szCs w:val="20"/>
        </w:rPr>
        <w:t xml:space="preserve"> J. Gold, </w:t>
      </w:r>
      <w:r w:rsidRPr="00FB7F9C">
        <w:rPr>
          <w:rFonts w:ascii="Times New Roman" w:hAnsi="Times New Roman" w:cs="Times New Roman"/>
          <w:i/>
          <w:noProof/>
          <w:sz w:val="20"/>
          <w:szCs w:val="20"/>
        </w:rPr>
        <w:t>The Experience of Modernism: Modern Architects and the Future City, 1928–1953</w:t>
      </w:r>
      <w:r w:rsidRPr="00FB7F9C">
        <w:rPr>
          <w:rFonts w:ascii="Times New Roman" w:hAnsi="Times New Roman" w:cs="Times New Roman"/>
          <w:noProof/>
          <w:sz w:val="20"/>
          <w:szCs w:val="20"/>
        </w:rPr>
        <w:t xml:space="preserve"> (London, 1997);  J. Gold, </w:t>
      </w:r>
      <w:r w:rsidRPr="00FB7F9C">
        <w:rPr>
          <w:rFonts w:ascii="Times New Roman" w:hAnsi="Times New Roman" w:cs="Times New Roman"/>
          <w:i/>
          <w:noProof/>
          <w:sz w:val="20"/>
          <w:szCs w:val="20"/>
        </w:rPr>
        <w:t>The Practice of Modernism: Modern Architects and Urban Transformation, 1954–1972</w:t>
      </w:r>
      <w:r w:rsidRPr="00FB7F9C">
        <w:rPr>
          <w:rFonts w:ascii="Times New Roman" w:hAnsi="Times New Roman" w:cs="Times New Roman"/>
          <w:noProof/>
          <w:sz w:val="20"/>
          <w:szCs w:val="20"/>
        </w:rPr>
        <w:t xml:space="preserve"> (London, 2007).</w:t>
      </w:r>
    </w:p>
  </w:footnote>
  <w:footnote w:id="4">
    <w:p w14:paraId="2B3EB6D6" w14:textId="3ADAA39A"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On this point see: G. Ortolano, </w:t>
      </w:r>
      <w:r w:rsidRPr="00FB7F9C">
        <w:rPr>
          <w:rFonts w:ascii="Times New Roman" w:hAnsi="Times New Roman" w:cs="Times New Roman"/>
          <w:i/>
          <w:sz w:val="20"/>
          <w:szCs w:val="20"/>
        </w:rPr>
        <w:t>Thatcher’s Progress: From Social Democracy to Market Liberalism Through an English New Town</w:t>
      </w:r>
      <w:r w:rsidRPr="00FB7F9C">
        <w:rPr>
          <w:rFonts w:ascii="Times New Roman" w:hAnsi="Times New Roman" w:cs="Times New Roman"/>
          <w:sz w:val="20"/>
          <w:szCs w:val="20"/>
        </w:rPr>
        <w:t xml:space="preserve"> (Cambridge, 2019).</w:t>
      </w:r>
    </w:p>
  </w:footnote>
  <w:footnote w:id="5">
    <w:p w14:paraId="4F19DEC6" w14:textId="3CC90E47"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C. </w:t>
      </w:r>
      <w:proofErr w:type="spellStart"/>
      <w:r w:rsidRPr="00FB7F9C">
        <w:rPr>
          <w:rFonts w:ascii="Times New Roman" w:hAnsi="Times New Roman" w:cs="Times New Roman"/>
          <w:sz w:val="20"/>
          <w:szCs w:val="20"/>
        </w:rPr>
        <w:t>Klemek</w:t>
      </w:r>
      <w:proofErr w:type="spellEnd"/>
      <w:r w:rsidRPr="00FB7F9C">
        <w:rPr>
          <w:rFonts w:ascii="Times New Roman" w:hAnsi="Times New Roman" w:cs="Times New Roman"/>
          <w:sz w:val="20"/>
          <w:szCs w:val="20"/>
        </w:rPr>
        <w:t xml:space="preserve">, </w:t>
      </w:r>
      <w:r w:rsidRPr="00FB7F9C">
        <w:rPr>
          <w:rFonts w:ascii="Times New Roman" w:hAnsi="Times New Roman" w:cs="Times New Roman"/>
          <w:i/>
          <w:sz w:val="20"/>
          <w:szCs w:val="20"/>
        </w:rPr>
        <w:t xml:space="preserve">The Transatlantic Collapse of Urban Renewal </w:t>
      </w:r>
      <w:r w:rsidRPr="00FB7F9C">
        <w:rPr>
          <w:rFonts w:ascii="Times New Roman" w:hAnsi="Times New Roman" w:cs="Times New Roman"/>
          <w:sz w:val="20"/>
          <w:szCs w:val="20"/>
        </w:rPr>
        <w:t>(Chicago, 2011).</w:t>
      </w:r>
    </w:p>
  </w:footnote>
  <w:footnote w:id="6">
    <w:p w14:paraId="7454CEC6" w14:textId="0985F0AF"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S. Couperus, ‘Building democracy anew: </w:t>
      </w:r>
      <w:proofErr w:type="spellStart"/>
      <w:r w:rsidR="00DE7619">
        <w:rPr>
          <w:rFonts w:ascii="Times New Roman" w:hAnsi="Times New Roman" w:cs="Times New Roman"/>
          <w:sz w:val="20"/>
          <w:szCs w:val="20"/>
        </w:rPr>
        <w:t>n</w:t>
      </w:r>
      <w:r w:rsidRPr="00FB7F9C">
        <w:rPr>
          <w:rFonts w:ascii="Times New Roman" w:hAnsi="Times New Roman" w:cs="Times New Roman"/>
          <w:sz w:val="20"/>
          <w:szCs w:val="20"/>
        </w:rPr>
        <w:t>eighborhood</w:t>
      </w:r>
      <w:proofErr w:type="spellEnd"/>
      <w:r w:rsidRPr="00FB7F9C">
        <w:rPr>
          <w:rFonts w:ascii="Times New Roman" w:hAnsi="Times New Roman" w:cs="Times New Roman"/>
          <w:sz w:val="20"/>
          <w:szCs w:val="20"/>
        </w:rPr>
        <w:t xml:space="preserve"> planning and political reform in post-blitz Rotterdam', </w:t>
      </w:r>
      <w:r w:rsidRPr="00FB7F9C">
        <w:rPr>
          <w:rFonts w:ascii="Times New Roman" w:hAnsi="Times New Roman" w:cs="Times New Roman"/>
          <w:i/>
          <w:sz w:val="20"/>
          <w:szCs w:val="20"/>
        </w:rPr>
        <w:t>Journal of Urban History,</w:t>
      </w:r>
      <w:r w:rsidRPr="00FB7F9C">
        <w:rPr>
          <w:rFonts w:ascii="Times New Roman" w:hAnsi="Times New Roman" w:cs="Times New Roman"/>
          <w:sz w:val="20"/>
          <w:szCs w:val="20"/>
        </w:rPr>
        <w:t xml:space="preserve"> 42:6 (2015), 992–1008; E. Hanna, </w:t>
      </w:r>
      <w:r w:rsidRPr="00FB7F9C">
        <w:rPr>
          <w:rFonts w:ascii="Times New Roman" w:hAnsi="Times New Roman" w:cs="Times New Roman"/>
          <w:i/>
          <w:sz w:val="20"/>
          <w:szCs w:val="20"/>
        </w:rPr>
        <w:t>Modern Dublin: Urban Change and the Irish Past, 1957-1973</w:t>
      </w:r>
      <w:r w:rsidR="006B367B" w:rsidRPr="00FB7F9C">
        <w:rPr>
          <w:rFonts w:ascii="Times New Roman" w:hAnsi="Times New Roman" w:cs="Times New Roman"/>
          <w:sz w:val="20"/>
          <w:szCs w:val="20"/>
        </w:rPr>
        <w:t xml:space="preserve"> (Oxford, 2013); N.</w:t>
      </w:r>
      <w:r w:rsidRPr="00FB7F9C">
        <w:rPr>
          <w:rFonts w:ascii="Times New Roman" w:hAnsi="Times New Roman" w:cs="Times New Roman"/>
          <w:sz w:val="20"/>
          <w:szCs w:val="20"/>
        </w:rPr>
        <w:t xml:space="preserve"> Vall, ‘Two Swedish modernisms on English housing estates: cultural transfer and visions of urban living 1945–1969’, </w:t>
      </w:r>
      <w:r w:rsidRPr="00FB7F9C">
        <w:rPr>
          <w:rFonts w:ascii="Times New Roman" w:hAnsi="Times New Roman" w:cs="Times New Roman"/>
          <w:i/>
          <w:sz w:val="20"/>
          <w:szCs w:val="20"/>
        </w:rPr>
        <w:t>Contemporary European History,</w:t>
      </w:r>
      <w:r w:rsidRPr="00FB7F9C">
        <w:rPr>
          <w:rFonts w:ascii="Times New Roman" w:hAnsi="Times New Roman" w:cs="Times New Roman"/>
          <w:sz w:val="20"/>
          <w:szCs w:val="20"/>
        </w:rPr>
        <w:t xml:space="preserve"> 24:2 (2015), 517–36.</w:t>
      </w:r>
    </w:p>
  </w:footnote>
  <w:footnote w:id="7">
    <w:p w14:paraId="1B013565" w14:textId="094A33A2" w:rsidR="001D25B1" w:rsidRPr="00FB7F9C" w:rsidRDefault="001D25B1" w:rsidP="00732322">
      <w:pPr>
        <w:rPr>
          <w:rFonts w:ascii="Times New Roman" w:eastAsia="Times New Roman" w:hAnsi="Times New Roman" w:cs="Times New Roman"/>
          <w:sz w:val="20"/>
          <w:szCs w:val="20"/>
          <w:lang w:eastAsia="en-GB"/>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S. Gunn, review of </w:t>
      </w:r>
      <w:r w:rsidR="00DE7619">
        <w:rPr>
          <w:rFonts w:ascii="Times New Roman" w:hAnsi="Times New Roman" w:cs="Times New Roman"/>
          <w:sz w:val="20"/>
          <w:szCs w:val="20"/>
        </w:rPr>
        <w:t xml:space="preserve">O. Saumarez Smith, </w:t>
      </w:r>
      <w:r w:rsidRPr="00FB7F9C">
        <w:rPr>
          <w:rFonts w:ascii="Times New Roman" w:hAnsi="Times New Roman" w:cs="Times New Roman"/>
          <w:i/>
          <w:sz w:val="20"/>
          <w:szCs w:val="20"/>
        </w:rPr>
        <w:t>Boom Cities: Architect Planners and the Politics of Radical Urban Renewal in 1960s Britain</w:t>
      </w:r>
      <w:r w:rsidRPr="00FB7F9C">
        <w:rPr>
          <w:rFonts w:ascii="Times New Roman" w:hAnsi="Times New Roman" w:cs="Times New Roman"/>
          <w:sz w:val="20"/>
          <w:szCs w:val="20"/>
        </w:rPr>
        <w:t xml:space="preserve">, (review no. 2361), Dec 2019, available online: </w:t>
      </w:r>
      <w:hyperlink r:id="rId1" w:history="1">
        <w:r w:rsidRPr="00FB7F9C">
          <w:rPr>
            <w:rFonts w:ascii="Times New Roman" w:eastAsia="Times New Roman" w:hAnsi="Times New Roman" w:cs="Times New Roman"/>
            <w:color w:val="0000FF"/>
            <w:sz w:val="20"/>
            <w:szCs w:val="20"/>
            <w:u w:val="single"/>
            <w:lang w:eastAsia="en-GB"/>
          </w:rPr>
          <w:t>https://reviews.history.ac.uk/review/2361</w:t>
        </w:r>
      </w:hyperlink>
      <w:r w:rsidRPr="00FB7F9C">
        <w:rPr>
          <w:rFonts w:ascii="Times New Roman" w:eastAsia="Times New Roman" w:hAnsi="Times New Roman" w:cs="Times New Roman"/>
          <w:sz w:val="20"/>
          <w:szCs w:val="20"/>
          <w:lang w:eastAsia="en-GB"/>
        </w:rPr>
        <w:t xml:space="preserve"> </w:t>
      </w:r>
      <w:r w:rsidRPr="00FB7F9C">
        <w:rPr>
          <w:rFonts w:ascii="Times New Roman" w:hAnsi="Times New Roman" w:cs="Times New Roman"/>
          <w:sz w:val="20"/>
          <w:szCs w:val="20"/>
        </w:rPr>
        <w:t xml:space="preserve">accessed </w:t>
      </w:r>
      <w:r w:rsidR="00DE72F3" w:rsidRPr="00FB7F9C">
        <w:rPr>
          <w:rFonts w:ascii="Times New Roman" w:hAnsi="Times New Roman" w:cs="Times New Roman"/>
          <w:sz w:val="20"/>
          <w:szCs w:val="20"/>
        </w:rPr>
        <w:t>2</w:t>
      </w:r>
      <w:r w:rsidRPr="00FB7F9C">
        <w:rPr>
          <w:rFonts w:ascii="Times New Roman" w:hAnsi="Times New Roman" w:cs="Times New Roman"/>
          <w:sz w:val="20"/>
          <w:szCs w:val="20"/>
        </w:rPr>
        <w:t xml:space="preserve">0 </w:t>
      </w:r>
      <w:r w:rsidR="00DE72F3" w:rsidRPr="00FB7F9C">
        <w:rPr>
          <w:rFonts w:ascii="Times New Roman" w:hAnsi="Times New Roman" w:cs="Times New Roman"/>
          <w:sz w:val="20"/>
          <w:szCs w:val="20"/>
        </w:rPr>
        <w:t>Mar</w:t>
      </w:r>
      <w:r w:rsidRPr="00FB7F9C">
        <w:rPr>
          <w:rFonts w:ascii="Times New Roman" w:hAnsi="Times New Roman" w:cs="Times New Roman"/>
          <w:sz w:val="20"/>
          <w:szCs w:val="20"/>
        </w:rPr>
        <w:t xml:space="preserve"> 2020.</w:t>
      </w:r>
    </w:p>
  </w:footnote>
  <w:footnote w:id="8">
    <w:p w14:paraId="3171B3D3" w14:textId="313938BF"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A. Kefford, ‘Constructing the affluent citizen: state, space the individual in post-war </w:t>
      </w:r>
      <w:proofErr w:type="spellStart"/>
      <w:r w:rsidRPr="00FB7F9C">
        <w:rPr>
          <w:rFonts w:ascii="Times New Roman" w:hAnsi="Times New Roman" w:cs="Times New Roman"/>
          <w:sz w:val="20"/>
          <w:szCs w:val="20"/>
        </w:rPr>
        <w:t>Britian</w:t>
      </w:r>
      <w:proofErr w:type="spellEnd"/>
      <w:r w:rsidRPr="00FB7F9C">
        <w:rPr>
          <w:rFonts w:ascii="Times New Roman" w:hAnsi="Times New Roman" w:cs="Times New Roman"/>
          <w:sz w:val="20"/>
          <w:szCs w:val="20"/>
        </w:rPr>
        <w:t>:</w:t>
      </w:r>
      <w:r w:rsidR="008E16AD">
        <w:rPr>
          <w:rFonts w:ascii="Times New Roman" w:hAnsi="Times New Roman" w:cs="Times New Roman"/>
          <w:sz w:val="20"/>
          <w:szCs w:val="20"/>
        </w:rPr>
        <w:t xml:space="preserve"> </w:t>
      </w:r>
      <w:r w:rsidRPr="00FB7F9C">
        <w:rPr>
          <w:rFonts w:ascii="Times New Roman" w:hAnsi="Times New Roman" w:cs="Times New Roman"/>
          <w:sz w:val="20"/>
          <w:szCs w:val="20"/>
        </w:rPr>
        <w:t>1945–79’, University of Manchester Ph.D. thesis, 2015; O</w:t>
      </w:r>
      <w:r w:rsidR="00EC6D3D">
        <w:rPr>
          <w:rFonts w:ascii="Times New Roman" w:hAnsi="Times New Roman" w:cs="Times New Roman"/>
          <w:sz w:val="20"/>
          <w:szCs w:val="20"/>
        </w:rPr>
        <w:t>.</w:t>
      </w:r>
      <w:r w:rsidRPr="00FB7F9C">
        <w:rPr>
          <w:rFonts w:ascii="Times New Roman" w:hAnsi="Times New Roman" w:cs="Times New Roman"/>
          <w:sz w:val="20"/>
          <w:szCs w:val="20"/>
        </w:rPr>
        <w:t xml:space="preserve"> Saumarez Smith, ‘Planning, politics and central area redevelopment, circa 1963’, University of Cambridge Ph.D. thesis, 2015.</w:t>
      </w:r>
    </w:p>
  </w:footnote>
  <w:footnote w:id="9">
    <w:p w14:paraId="49B13088" w14:textId="531B42EF"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J.C. Scott, </w:t>
      </w:r>
      <w:r w:rsidRPr="00FB7F9C">
        <w:rPr>
          <w:rFonts w:ascii="Times New Roman" w:hAnsi="Times New Roman" w:cs="Times New Roman"/>
          <w:i/>
          <w:sz w:val="20"/>
          <w:szCs w:val="20"/>
        </w:rPr>
        <w:t xml:space="preserve">Seeing Like a State: How Certain Schemes to Improve the Human Condition Have Failed </w:t>
      </w:r>
      <w:r w:rsidRPr="00FB7F9C">
        <w:rPr>
          <w:rFonts w:ascii="Times New Roman" w:hAnsi="Times New Roman" w:cs="Times New Roman"/>
          <w:sz w:val="20"/>
          <w:szCs w:val="20"/>
        </w:rPr>
        <w:t xml:space="preserve">(London, 1998); P. Joyce, </w:t>
      </w:r>
      <w:r w:rsidRPr="00FB7F9C">
        <w:rPr>
          <w:rFonts w:ascii="Times New Roman" w:hAnsi="Times New Roman" w:cs="Times New Roman"/>
          <w:i/>
          <w:sz w:val="20"/>
          <w:szCs w:val="20"/>
        </w:rPr>
        <w:t>The Rule of Freedom: Liberalism and the Modern City</w:t>
      </w:r>
      <w:r w:rsidRPr="00FB7F9C">
        <w:rPr>
          <w:rFonts w:ascii="Times New Roman" w:hAnsi="Times New Roman" w:cs="Times New Roman"/>
          <w:sz w:val="20"/>
          <w:szCs w:val="20"/>
        </w:rPr>
        <w:t xml:space="preserve"> (London, 2003).</w:t>
      </w:r>
    </w:p>
  </w:footnote>
  <w:footnote w:id="10">
    <w:p w14:paraId="37A134AA" w14:textId="0A0C0866"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L. Black and H. Pemberton (eds.), </w:t>
      </w:r>
      <w:r w:rsidRPr="00FB7F9C">
        <w:rPr>
          <w:rFonts w:ascii="Times New Roman" w:hAnsi="Times New Roman" w:cs="Times New Roman"/>
          <w:i/>
          <w:iCs/>
          <w:sz w:val="20"/>
          <w:szCs w:val="20"/>
        </w:rPr>
        <w:t>An Affluent Society? Britain’s Post-war ‘Golden Age’ Revisited</w:t>
      </w:r>
      <w:r w:rsidRPr="00FB7F9C">
        <w:rPr>
          <w:rFonts w:ascii="Times New Roman" w:hAnsi="Times New Roman" w:cs="Times New Roman"/>
          <w:sz w:val="20"/>
          <w:szCs w:val="20"/>
        </w:rPr>
        <w:t xml:space="preserve"> (Aldershot, 2004).</w:t>
      </w:r>
    </w:p>
  </w:footnote>
  <w:footnote w:id="11">
    <w:p w14:paraId="4BE5D080" w14:textId="75E01680"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O. Saumarez Smith, </w:t>
      </w:r>
      <w:r w:rsidRPr="00FB7F9C">
        <w:rPr>
          <w:rFonts w:ascii="Times New Roman" w:hAnsi="Times New Roman" w:cs="Times New Roman"/>
          <w:i/>
          <w:sz w:val="20"/>
          <w:szCs w:val="20"/>
        </w:rPr>
        <w:t>Boom Cities: Architect Planners and the Politics of Radical Urban Renewal in 1960s</w:t>
      </w:r>
      <w:r w:rsidRPr="00FB7F9C">
        <w:rPr>
          <w:rFonts w:ascii="Times New Roman" w:hAnsi="Times New Roman" w:cs="Times New Roman"/>
          <w:sz w:val="20"/>
          <w:szCs w:val="20"/>
        </w:rPr>
        <w:t xml:space="preserve"> </w:t>
      </w:r>
      <w:r w:rsidRPr="00EC6D3D">
        <w:rPr>
          <w:rFonts w:ascii="Times New Roman" w:hAnsi="Times New Roman" w:cs="Times New Roman"/>
          <w:i/>
          <w:iCs/>
          <w:sz w:val="20"/>
          <w:szCs w:val="20"/>
        </w:rPr>
        <w:t xml:space="preserve">Britain </w:t>
      </w:r>
      <w:r w:rsidRPr="00FB7F9C">
        <w:rPr>
          <w:rFonts w:ascii="Times New Roman" w:hAnsi="Times New Roman" w:cs="Times New Roman"/>
          <w:sz w:val="20"/>
          <w:szCs w:val="20"/>
        </w:rPr>
        <w:t xml:space="preserve">(Oxford, 2019). </w:t>
      </w:r>
    </w:p>
  </w:footnote>
  <w:footnote w:id="12">
    <w:p w14:paraId="5D6A283A" w14:textId="4463E35A" w:rsidR="003F782A" w:rsidRPr="00FB7F9C" w:rsidRDefault="003F782A"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J. Tomlinson, ‘De-industrialization not decline: a new meta-narrative for post-war British history’, </w:t>
      </w:r>
      <w:r w:rsidRPr="00FB7F9C">
        <w:rPr>
          <w:rFonts w:ascii="Times New Roman" w:hAnsi="Times New Roman" w:cs="Times New Roman"/>
          <w:i/>
          <w:sz w:val="20"/>
          <w:szCs w:val="20"/>
        </w:rPr>
        <w:t>Twentieth Century British History</w:t>
      </w:r>
      <w:r w:rsidRPr="00FB7F9C">
        <w:rPr>
          <w:rFonts w:ascii="Times New Roman" w:hAnsi="Times New Roman" w:cs="Times New Roman"/>
          <w:sz w:val="20"/>
          <w:szCs w:val="20"/>
        </w:rPr>
        <w:t>, 27:1 (2016), 76–99.</w:t>
      </w:r>
    </w:p>
  </w:footnote>
  <w:footnote w:id="13">
    <w:p w14:paraId="7DF7AD40" w14:textId="789970D8"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For the future direction of this type of study see Alistair Kefford’s British Academy Fellowship project ‘Commercial </w:t>
      </w:r>
      <w:r w:rsidR="008E16AD">
        <w:rPr>
          <w:rFonts w:ascii="Times New Roman" w:hAnsi="Times New Roman" w:cs="Times New Roman"/>
          <w:sz w:val="20"/>
          <w:szCs w:val="20"/>
        </w:rPr>
        <w:t>p</w:t>
      </w:r>
      <w:r w:rsidRPr="00FB7F9C">
        <w:rPr>
          <w:rFonts w:ascii="Times New Roman" w:hAnsi="Times New Roman" w:cs="Times New Roman"/>
          <w:sz w:val="20"/>
          <w:szCs w:val="20"/>
        </w:rPr>
        <w:t xml:space="preserve">roperty </w:t>
      </w:r>
      <w:r w:rsidR="008E16AD">
        <w:rPr>
          <w:rFonts w:ascii="Times New Roman" w:hAnsi="Times New Roman" w:cs="Times New Roman"/>
          <w:sz w:val="20"/>
          <w:szCs w:val="20"/>
        </w:rPr>
        <w:t>d</w:t>
      </w:r>
      <w:r w:rsidRPr="00FB7F9C">
        <w:rPr>
          <w:rFonts w:ascii="Times New Roman" w:hAnsi="Times New Roman" w:cs="Times New Roman"/>
          <w:sz w:val="20"/>
          <w:szCs w:val="20"/>
        </w:rPr>
        <w:t xml:space="preserve">evelopment and the </w:t>
      </w:r>
      <w:r w:rsidR="008E16AD">
        <w:rPr>
          <w:rFonts w:ascii="Times New Roman" w:hAnsi="Times New Roman" w:cs="Times New Roman"/>
          <w:sz w:val="20"/>
          <w:szCs w:val="20"/>
        </w:rPr>
        <w:t>r</w:t>
      </w:r>
      <w:r w:rsidRPr="00FB7F9C">
        <w:rPr>
          <w:rFonts w:ascii="Times New Roman" w:hAnsi="Times New Roman" w:cs="Times New Roman"/>
          <w:sz w:val="20"/>
          <w:szCs w:val="20"/>
        </w:rPr>
        <w:t xml:space="preserve">emaking of British </w:t>
      </w:r>
      <w:r w:rsidR="008E16AD">
        <w:rPr>
          <w:rFonts w:ascii="Times New Roman" w:hAnsi="Times New Roman" w:cs="Times New Roman"/>
          <w:sz w:val="20"/>
          <w:szCs w:val="20"/>
        </w:rPr>
        <w:t>c</w:t>
      </w:r>
      <w:r w:rsidRPr="00FB7F9C">
        <w:rPr>
          <w:rFonts w:ascii="Times New Roman" w:hAnsi="Times New Roman" w:cs="Times New Roman"/>
          <w:sz w:val="20"/>
          <w:szCs w:val="20"/>
        </w:rPr>
        <w:t xml:space="preserve">ities, 1954-1998’,  available online: </w:t>
      </w:r>
      <w:hyperlink r:id="rId2" w:history="1">
        <w:r w:rsidRPr="00FB7F9C">
          <w:rPr>
            <w:rStyle w:val="Hyperlink"/>
            <w:rFonts w:ascii="Times New Roman" w:hAnsi="Times New Roman" w:cs="Times New Roman"/>
            <w:sz w:val="20"/>
            <w:szCs w:val="20"/>
          </w:rPr>
          <w:t>https://www.thebritishacademy.ac.uk/sites/default/files/Postdoctoral%20_Fellows_2017_cohort.pdf</w:t>
        </w:r>
      </w:hyperlink>
      <w:r w:rsidRPr="00FB7F9C">
        <w:rPr>
          <w:rFonts w:ascii="Times New Roman" w:hAnsi="Times New Roman" w:cs="Times New Roman"/>
          <w:sz w:val="20"/>
          <w:szCs w:val="20"/>
        </w:rPr>
        <w:t xml:space="preserve"> accessed 20 </w:t>
      </w:r>
      <w:r w:rsidR="00DE72F3" w:rsidRPr="00FB7F9C">
        <w:rPr>
          <w:rFonts w:ascii="Times New Roman" w:hAnsi="Times New Roman" w:cs="Times New Roman"/>
          <w:sz w:val="20"/>
          <w:szCs w:val="20"/>
        </w:rPr>
        <w:t>Mar</w:t>
      </w:r>
      <w:r w:rsidRPr="00FB7F9C">
        <w:rPr>
          <w:rFonts w:ascii="Times New Roman" w:hAnsi="Times New Roman" w:cs="Times New Roman"/>
          <w:sz w:val="20"/>
          <w:szCs w:val="20"/>
        </w:rPr>
        <w:t xml:space="preserve"> 2020.</w:t>
      </w:r>
    </w:p>
  </w:footnote>
  <w:footnote w:id="14">
    <w:p w14:paraId="72A3AA1E" w14:textId="06B99899"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Saumarez Smith, ‘Planning, politics and central area redevelopment’, </w:t>
      </w:r>
      <w:r w:rsidR="003D7A56">
        <w:rPr>
          <w:rFonts w:ascii="Times New Roman" w:hAnsi="Times New Roman" w:cs="Times New Roman"/>
          <w:sz w:val="20"/>
          <w:szCs w:val="20"/>
        </w:rPr>
        <w:t>192.</w:t>
      </w:r>
      <w:r w:rsidRPr="00FB7F9C">
        <w:rPr>
          <w:rFonts w:ascii="Times New Roman" w:hAnsi="Times New Roman" w:cs="Times New Roman"/>
          <w:sz w:val="20"/>
          <w:szCs w:val="20"/>
        </w:rPr>
        <w:t xml:space="preserve"> </w:t>
      </w:r>
    </w:p>
  </w:footnote>
  <w:footnote w:id="15">
    <w:p w14:paraId="0E48AFC1" w14:textId="778582C1" w:rsidR="00553F47" w:rsidRPr="00FB7F9C" w:rsidRDefault="00553F47"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A. Alexander, </w:t>
      </w:r>
      <w:r w:rsidRPr="00FB7F9C">
        <w:rPr>
          <w:rFonts w:ascii="Times New Roman" w:hAnsi="Times New Roman" w:cs="Times New Roman"/>
          <w:i/>
          <w:sz w:val="20"/>
          <w:szCs w:val="20"/>
        </w:rPr>
        <w:t>Britain's New Towns: Garden Cities to Sustainable Communities</w:t>
      </w:r>
      <w:r w:rsidRPr="00FB7F9C">
        <w:rPr>
          <w:rFonts w:ascii="Times New Roman" w:hAnsi="Times New Roman" w:cs="Times New Roman"/>
          <w:sz w:val="20"/>
          <w:szCs w:val="20"/>
        </w:rPr>
        <w:t xml:space="preserve"> (London</w:t>
      </w:r>
      <w:r w:rsidR="00553A20" w:rsidRPr="00FB7F9C">
        <w:rPr>
          <w:rFonts w:ascii="Times New Roman" w:hAnsi="Times New Roman" w:cs="Times New Roman"/>
          <w:sz w:val="20"/>
          <w:szCs w:val="20"/>
        </w:rPr>
        <w:t>, 2009), 149–</w:t>
      </w:r>
      <w:r w:rsidRPr="00FB7F9C">
        <w:rPr>
          <w:rFonts w:ascii="Times New Roman" w:hAnsi="Times New Roman" w:cs="Times New Roman"/>
          <w:sz w:val="20"/>
          <w:szCs w:val="20"/>
        </w:rPr>
        <w:t xml:space="preserve">56; </w:t>
      </w:r>
      <w:r w:rsidR="0087690B" w:rsidRPr="00FB7F9C">
        <w:rPr>
          <w:rFonts w:ascii="Times New Roman" w:hAnsi="Times New Roman" w:cs="Times New Roman"/>
          <w:sz w:val="20"/>
          <w:szCs w:val="20"/>
        </w:rPr>
        <w:t xml:space="preserve">M. </w:t>
      </w:r>
      <w:proofErr w:type="spellStart"/>
      <w:r w:rsidR="0087690B" w:rsidRPr="00FB7F9C">
        <w:rPr>
          <w:rFonts w:ascii="Times New Roman" w:hAnsi="Times New Roman" w:cs="Times New Roman"/>
          <w:sz w:val="20"/>
          <w:szCs w:val="20"/>
        </w:rPr>
        <w:t>Clapson</w:t>
      </w:r>
      <w:proofErr w:type="spellEnd"/>
      <w:r w:rsidR="0087690B" w:rsidRPr="00FB7F9C">
        <w:rPr>
          <w:rFonts w:ascii="Times New Roman" w:hAnsi="Times New Roman" w:cs="Times New Roman"/>
          <w:sz w:val="20"/>
          <w:szCs w:val="20"/>
        </w:rPr>
        <w:t xml:space="preserve">, </w:t>
      </w:r>
      <w:r w:rsidR="0087690B" w:rsidRPr="00FB7F9C">
        <w:rPr>
          <w:rFonts w:ascii="Times New Roman" w:hAnsi="Times New Roman" w:cs="Times New Roman"/>
          <w:i/>
          <w:sz w:val="20"/>
          <w:szCs w:val="20"/>
        </w:rPr>
        <w:t xml:space="preserve">Invincible Green Suburbs, Brave New Towns: Social Change and Urban Dispersal in </w:t>
      </w:r>
      <w:proofErr w:type="spellStart"/>
      <w:r w:rsidR="0087690B" w:rsidRPr="00FB7F9C">
        <w:rPr>
          <w:rFonts w:ascii="Times New Roman" w:hAnsi="Times New Roman" w:cs="Times New Roman"/>
          <w:i/>
          <w:sz w:val="20"/>
          <w:szCs w:val="20"/>
        </w:rPr>
        <w:t>Postwar</w:t>
      </w:r>
      <w:proofErr w:type="spellEnd"/>
      <w:r w:rsidR="0087690B" w:rsidRPr="00FB7F9C">
        <w:rPr>
          <w:rFonts w:ascii="Times New Roman" w:hAnsi="Times New Roman" w:cs="Times New Roman"/>
          <w:i/>
          <w:sz w:val="20"/>
          <w:szCs w:val="20"/>
        </w:rPr>
        <w:t xml:space="preserve"> England</w:t>
      </w:r>
      <w:r w:rsidR="00553A20" w:rsidRPr="00FB7F9C">
        <w:rPr>
          <w:rFonts w:ascii="Times New Roman" w:hAnsi="Times New Roman" w:cs="Times New Roman"/>
          <w:sz w:val="20"/>
          <w:szCs w:val="20"/>
        </w:rPr>
        <w:t xml:space="preserve"> (Manchester, 1998), 121–</w:t>
      </w:r>
      <w:r w:rsidR="0087690B" w:rsidRPr="00FB7F9C">
        <w:rPr>
          <w:rFonts w:ascii="Times New Roman" w:hAnsi="Times New Roman" w:cs="Times New Roman"/>
          <w:sz w:val="20"/>
          <w:szCs w:val="20"/>
        </w:rPr>
        <w:t xml:space="preserve">95; </w:t>
      </w:r>
      <w:r w:rsidR="00553A20" w:rsidRPr="00FB7F9C">
        <w:rPr>
          <w:rFonts w:ascii="Times New Roman" w:hAnsi="Times New Roman" w:cs="Times New Roman"/>
          <w:sz w:val="20"/>
          <w:szCs w:val="20"/>
        </w:rPr>
        <w:t xml:space="preserve">A. Forsyth and R. </w:t>
      </w:r>
      <w:proofErr w:type="spellStart"/>
      <w:r w:rsidR="00553A20" w:rsidRPr="00FB7F9C">
        <w:rPr>
          <w:rFonts w:ascii="Times New Roman" w:hAnsi="Times New Roman" w:cs="Times New Roman"/>
          <w:sz w:val="20"/>
          <w:szCs w:val="20"/>
        </w:rPr>
        <w:t>Peiser</w:t>
      </w:r>
      <w:proofErr w:type="spellEnd"/>
      <w:r w:rsidR="00553A20" w:rsidRPr="00FB7F9C">
        <w:rPr>
          <w:rFonts w:ascii="Times New Roman" w:hAnsi="Times New Roman" w:cs="Times New Roman"/>
          <w:sz w:val="20"/>
          <w:szCs w:val="20"/>
        </w:rPr>
        <w:t xml:space="preserve">, ‘The British new towns: lessons for the world from the new-town experiment’, </w:t>
      </w:r>
      <w:r w:rsidR="00553A20" w:rsidRPr="00FB7F9C">
        <w:rPr>
          <w:rFonts w:ascii="Times New Roman" w:hAnsi="Times New Roman" w:cs="Times New Roman"/>
          <w:i/>
          <w:sz w:val="20"/>
          <w:szCs w:val="20"/>
        </w:rPr>
        <w:t>Town Planning Review</w:t>
      </w:r>
      <w:r w:rsidR="00553A20" w:rsidRPr="00FB7F9C">
        <w:rPr>
          <w:rFonts w:ascii="Times New Roman" w:hAnsi="Times New Roman" w:cs="Times New Roman"/>
          <w:sz w:val="20"/>
          <w:szCs w:val="20"/>
        </w:rPr>
        <w:t>, 90:3 (2019), 239</w:t>
      </w:r>
      <w:r w:rsidR="003D7A56">
        <w:rPr>
          <w:rFonts w:ascii="Times New Roman" w:hAnsi="Times New Roman" w:cs="Times New Roman"/>
          <w:sz w:val="20"/>
          <w:szCs w:val="20"/>
        </w:rPr>
        <w:t>–</w:t>
      </w:r>
      <w:r w:rsidR="00553A20" w:rsidRPr="00FB7F9C">
        <w:rPr>
          <w:rFonts w:ascii="Times New Roman" w:hAnsi="Times New Roman" w:cs="Times New Roman"/>
          <w:sz w:val="20"/>
          <w:szCs w:val="20"/>
        </w:rPr>
        <w:t>46.</w:t>
      </w:r>
    </w:p>
  </w:footnote>
  <w:footnote w:id="16">
    <w:p w14:paraId="4F2BA425" w14:textId="2FFE7B75" w:rsidR="00975AC3" w:rsidRPr="00FB7F9C" w:rsidRDefault="00975AC3"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H. Rivera, ‘Political ideology and housing supply: rethinking New Towns and the building of new communities in England’, Bartlett School of Planning, University College London Ph.D. thesis, 2015.</w:t>
      </w:r>
    </w:p>
  </w:footnote>
  <w:footnote w:id="17">
    <w:p w14:paraId="7FEED3B1" w14:textId="3071583F" w:rsidR="00B07844" w:rsidRPr="00FB7F9C" w:rsidRDefault="00B07844"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Rivera, ‘Political ideology and housing supply’, 254.</w:t>
      </w:r>
    </w:p>
  </w:footnote>
  <w:footnote w:id="18">
    <w:p w14:paraId="1BEAA30A" w14:textId="2D0DB2EE" w:rsidR="006F66BC" w:rsidRPr="00FB7F9C" w:rsidRDefault="006F66BC"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Rivera, ‘Political ideology and housing supply’, 179–87.</w:t>
      </w:r>
    </w:p>
  </w:footnote>
  <w:footnote w:id="19">
    <w:p w14:paraId="37CE2720" w14:textId="57F60B91" w:rsidR="006F66BC" w:rsidRPr="00FB7F9C" w:rsidRDefault="006F66BC"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Rivera, ‘Political ideology and housing supply’, </w:t>
      </w:r>
      <w:r w:rsidR="001559B1" w:rsidRPr="00FB7F9C">
        <w:rPr>
          <w:rFonts w:ascii="Times New Roman" w:hAnsi="Times New Roman" w:cs="Times New Roman"/>
          <w:sz w:val="20"/>
          <w:szCs w:val="20"/>
        </w:rPr>
        <w:t>182</w:t>
      </w:r>
      <w:r w:rsidR="003D7A56">
        <w:rPr>
          <w:rFonts w:ascii="Times New Roman" w:hAnsi="Times New Roman" w:cs="Times New Roman"/>
          <w:sz w:val="20"/>
          <w:szCs w:val="20"/>
        </w:rPr>
        <w:t>.</w:t>
      </w:r>
    </w:p>
  </w:footnote>
  <w:footnote w:id="20">
    <w:p w14:paraId="2A58FB48" w14:textId="0518A7BD"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S. Mass, ‘At the heart of the city: the battle for British marketplaces, c.1925–1979’, University of Michigan Ph.D. thesis, 2018.</w:t>
      </w:r>
    </w:p>
  </w:footnote>
  <w:footnote w:id="21">
    <w:p w14:paraId="4E9DBB9A" w14:textId="3D2DA866"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006F27E4" w:rsidRPr="00FB7F9C">
        <w:rPr>
          <w:rFonts w:ascii="Times New Roman" w:hAnsi="Times New Roman" w:cs="Times New Roman"/>
          <w:sz w:val="20"/>
          <w:szCs w:val="20"/>
        </w:rPr>
        <w:t xml:space="preserve"> J. </w:t>
      </w:r>
      <w:r w:rsidRPr="00FB7F9C">
        <w:rPr>
          <w:rFonts w:ascii="Times New Roman" w:hAnsi="Times New Roman" w:cs="Times New Roman"/>
          <w:sz w:val="20"/>
          <w:szCs w:val="20"/>
        </w:rPr>
        <w:t xml:space="preserve">Jacobs, </w:t>
      </w:r>
      <w:r w:rsidRPr="00FB7F9C">
        <w:rPr>
          <w:rFonts w:ascii="Times New Roman" w:hAnsi="Times New Roman" w:cs="Times New Roman"/>
          <w:i/>
          <w:sz w:val="20"/>
          <w:szCs w:val="20"/>
        </w:rPr>
        <w:t>The Death and Life of Great American Cities</w:t>
      </w:r>
      <w:r w:rsidRPr="00FB7F9C">
        <w:rPr>
          <w:rFonts w:ascii="Times New Roman" w:hAnsi="Times New Roman" w:cs="Times New Roman"/>
          <w:sz w:val="20"/>
          <w:szCs w:val="20"/>
        </w:rPr>
        <w:t xml:space="preserve"> (New York, 1998 [1961]), 434–5, 440; Mass, ‘At the heart of the city’, 121.</w:t>
      </w:r>
    </w:p>
  </w:footnote>
  <w:footnote w:id="22">
    <w:p w14:paraId="72CBB0A4" w14:textId="19C3CC13"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w:t>
      </w:r>
      <w:r w:rsidR="006F27E4" w:rsidRPr="00FB7F9C">
        <w:rPr>
          <w:rFonts w:ascii="Times New Roman" w:hAnsi="Times New Roman" w:cs="Times New Roman"/>
          <w:sz w:val="20"/>
          <w:szCs w:val="20"/>
        </w:rPr>
        <w:t>C.</w:t>
      </w:r>
      <w:r w:rsidRPr="00FB7F9C">
        <w:rPr>
          <w:rFonts w:ascii="Times New Roman" w:hAnsi="Times New Roman" w:cs="Times New Roman"/>
          <w:sz w:val="20"/>
          <w:szCs w:val="20"/>
        </w:rPr>
        <w:t xml:space="preserve"> Manley, ‘New town urbanity: theory and practice in housing design at Harlow’, Mackintosh School of Architecture Ph.D. thesis, 2014.</w:t>
      </w:r>
    </w:p>
  </w:footnote>
  <w:footnote w:id="23">
    <w:p w14:paraId="1B89801D" w14:textId="4CA07780"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CIAM (</w:t>
      </w:r>
      <w:proofErr w:type="spellStart"/>
      <w:r w:rsidRPr="00FB7F9C">
        <w:rPr>
          <w:rFonts w:ascii="Times New Roman" w:hAnsi="Times New Roman" w:cs="Times New Roman"/>
          <w:i/>
          <w:sz w:val="20"/>
          <w:szCs w:val="20"/>
        </w:rPr>
        <w:t>Congrès</w:t>
      </w:r>
      <w:proofErr w:type="spellEnd"/>
      <w:r w:rsidRPr="00FB7F9C">
        <w:rPr>
          <w:rFonts w:ascii="Times New Roman" w:hAnsi="Times New Roman" w:cs="Times New Roman"/>
          <w:i/>
          <w:sz w:val="20"/>
          <w:szCs w:val="20"/>
        </w:rPr>
        <w:t xml:space="preserve"> </w:t>
      </w:r>
      <w:proofErr w:type="spellStart"/>
      <w:r w:rsidRPr="00FB7F9C">
        <w:rPr>
          <w:rFonts w:ascii="Times New Roman" w:hAnsi="Times New Roman" w:cs="Times New Roman"/>
          <w:i/>
          <w:sz w:val="20"/>
          <w:szCs w:val="20"/>
        </w:rPr>
        <w:t>Internationaux</w:t>
      </w:r>
      <w:proofErr w:type="spellEnd"/>
      <w:r w:rsidRPr="00FB7F9C">
        <w:rPr>
          <w:rFonts w:ascii="Times New Roman" w:hAnsi="Times New Roman" w:cs="Times New Roman"/>
          <w:i/>
          <w:sz w:val="20"/>
          <w:szCs w:val="20"/>
        </w:rPr>
        <w:t xml:space="preserve"> </w:t>
      </w:r>
      <w:proofErr w:type="spellStart"/>
      <w:r w:rsidRPr="00FB7F9C">
        <w:rPr>
          <w:rFonts w:ascii="Times New Roman" w:hAnsi="Times New Roman" w:cs="Times New Roman"/>
          <w:i/>
          <w:sz w:val="20"/>
          <w:szCs w:val="20"/>
        </w:rPr>
        <w:t>d'architecture</w:t>
      </w:r>
      <w:proofErr w:type="spellEnd"/>
      <w:r w:rsidRPr="00FB7F9C">
        <w:rPr>
          <w:rFonts w:ascii="Times New Roman" w:hAnsi="Times New Roman" w:cs="Times New Roman"/>
          <w:i/>
          <w:sz w:val="20"/>
          <w:szCs w:val="20"/>
        </w:rPr>
        <w:t xml:space="preserve"> </w:t>
      </w:r>
      <w:proofErr w:type="spellStart"/>
      <w:r w:rsidRPr="00FB7F9C">
        <w:rPr>
          <w:rFonts w:ascii="Times New Roman" w:hAnsi="Times New Roman" w:cs="Times New Roman"/>
          <w:i/>
          <w:sz w:val="20"/>
          <w:szCs w:val="20"/>
        </w:rPr>
        <w:t>Moderne</w:t>
      </w:r>
      <w:proofErr w:type="spellEnd"/>
      <w:r w:rsidRPr="00FB7F9C">
        <w:rPr>
          <w:rFonts w:ascii="Times New Roman" w:hAnsi="Times New Roman" w:cs="Times New Roman"/>
          <w:i/>
          <w:sz w:val="20"/>
          <w:szCs w:val="20"/>
        </w:rPr>
        <w:t>)</w:t>
      </w:r>
      <w:r w:rsidRPr="00FB7F9C">
        <w:rPr>
          <w:rFonts w:ascii="Times New Roman" w:hAnsi="Times New Roman" w:cs="Times New Roman"/>
          <w:sz w:val="20"/>
          <w:szCs w:val="20"/>
        </w:rPr>
        <w:t xml:space="preserve">, was formed in June 1928 by 28 European architects to promote modern architecture as a social art. CIAM was highly influential in </w:t>
      </w:r>
      <w:r w:rsidR="003D7A56">
        <w:rPr>
          <w:rFonts w:ascii="Times New Roman" w:hAnsi="Times New Roman" w:cs="Times New Roman"/>
          <w:sz w:val="20"/>
          <w:szCs w:val="20"/>
        </w:rPr>
        <w:t xml:space="preserve">the </w:t>
      </w:r>
      <w:r w:rsidRPr="00FB7F9C">
        <w:rPr>
          <w:rFonts w:ascii="Times New Roman" w:hAnsi="Times New Roman" w:cs="Times New Roman"/>
          <w:sz w:val="20"/>
          <w:szCs w:val="20"/>
        </w:rPr>
        <w:t xml:space="preserve">formulation of post-war planning </w:t>
      </w:r>
      <w:r w:rsidR="008D5BEA" w:rsidRPr="00FB7F9C">
        <w:rPr>
          <w:rFonts w:ascii="Times New Roman" w:hAnsi="Times New Roman" w:cs="Times New Roman"/>
          <w:sz w:val="20"/>
          <w:szCs w:val="20"/>
        </w:rPr>
        <w:t>doctrines</w:t>
      </w:r>
      <w:r w:rsidRPr="00FB7F9C">
        <w:rPr>
          <w:rFonts w:ascii="Times New Roman" w:hAnsi="Times New Roman" w:cs="Times New Roman"/>
          <w:sz w:val="20"/>
          <w:szCs w:val="20"/>
        </w:rPr>
        <w:t xml:space="preserve">, </w:t>
      </w:r>
      <w:r w:rsidR="008D5BEA" w:rsidRPr="00FB7F9C">
        <w:rPr>
          <w:rFonts w:ascii="Times New Roman" w:hAnsi="Times New Roman" w:cs="Times New Roman"/>
          <w:sz w:val="20"/>
          <w:szCs w:val="20"/>
        </w:rPr>
        <w:t>especially</w:t>
      </w:r>
      <w:r w:rsidRPr="00FB7F9C">
        <w:rPr>
          <w:rFonts w:ascii="Times New Roman" w:hAnsi="Times New Roman" w:cs="Times New Roman"/>
          <w:sz w:val="20"/>
          <w:szCs w:val="20"/>
        </w:rPr>
        <w:t xml:space="preserve"> through the 1933 Athens Charter in which they outlined the principles of zoning, rehousing and traffic flow as central to creating a functional city. The MARS </w:t>
      </w:r>
      <w:r w:rsidRPr="00FB7F9C">
        <w:rPr>
          <w:rFonts w:ascii="Times New Roman" w:eastAsia="SimSun" w:hAnsi="Times New Roman" w:cs="Times New Roman"/>
          <w:sz w:val="20"/>
          <w:szCs w:val="20"/>
          <w:lang w:eastAsia="zh-CN"/>
        </w:rPr>
        <w:t xml:space="preserve">(Modern Architectural Research) group </w:t>
      </w:r>
      <w:r w:rsidRPr="00FB7F9C">
        <w:rPr>
          <w:rFonts w:ascii="Times New Roman" w:hAnsi="Times New Roman" w:cs="Times New Roman"/>
          <w:sz w:val="20"/>
          <w:szCs w:val="20"/>
        </w:rPr>
        <w:t>was founded in 1933 becoming an influential British architectural think tank. It is best remembered for its series</w:t>
      </w:r>
      <w:r w:rsidR="008D5BEA" w:rsidRPr="00FB7F9C">
        <w:rPr>
          <w:rFonts w:ascii="Times New Roman" w:hAnsi="Times New Roman" w:cs="Times New Roman"/>
          <w:sz w:val="20"/>
          <w:szCs w:val="20"/>
        </w:rPr>
        <w:t xml:space="preserve"> of plans for London. See: J. </w:t>
      </w:r>
      <w:r w:rsidRPr="00FB7F9C">
        <w:rPr>
          <w:rFonts w:ascii="Times New Roman" w:hAnsi="Times New Roman" w:cs="Times New Roman"/>
          <w:sz w:val="20"/>
          <w:szCs w:val="20"/>
        </w:rPr>
        <w:t xml:space="preserve">Gold, ‘The MARS plans for London, 1933-1942’, </w:t>
      </w:r>
      <w:r w:rsidRPr="00FB7F9C">
        <w:rPr>
          <w:rFonts w:ascii="Times New Roman" w:hAnsi="Times New Roman" w:cs="Times New Roman"/>
          <w:i/>
          <w:sz w:val="20"/>
          <w:szCs w:val="20"/>
        </w:rPr>
        <w:t>Town Planning Review,</w:t>
      </w:r>
      <w:r w:rsidR="008D5BEA" w:rsidRPr="00FB7F9C">
        <w:rPr>
          <w:rFonts w:ascii="Times New Roman" w:hAnsi="Times New Roman" w:cs="Times New Roman"/>
          <w:sz w:val="20"/>
          <w:szCs w:val="20"/>
        </w:rPr>
        <w:t xml:space="preserve"> 66:3 (1995), 243–67; E. </w:t>
      </w:r>
      <w:r w:rsidRPr="00FB7F9C">
        <w:rPr>
          <w:rFonts w:ascii="Times New Roman" w:hAnsi="Times New Roman" w:cs="Times New Roman"/>
          <w:sz w:val="20"/>
          <w:szCs w:val="20"/>
        </w:rPr>
        <w:t>Mumford</w:t>
      </w:r>
      <w:r w:rsidR="008D5BEA" w:rsidRPr="00FB7F9C">
        <w:rPr>
          <w:rFonts w:ascii="Times New Roman" w:hAnsi="Times New Roman" w:cs="Times New Roman"/>
          <w:i/>
          <w:sz w:val="20"/>
          <w:szCs w:val="20"/>
        </w:rPr>
        <w:t>, The CIAM Discourse on U</w:t>
      </w:r>
      <w:r w:rsidRPr="00FB7F9C">
        <w:rPr>
          <w:rFonts w:ascii="Times New Roman" w:hAnsi="Times New Roman" w:cs="Times New Roman"/>
          <w:i/>
          <w:sz w:val="20"/>
          <w:szCs w:val="20"/>
        </w:rPr>
        <w:t xml:space="preserve">rbanisms, </w:t>
      </w:r>
      <w:r w:rsidRPr="00550901">
        <w:rPr>
          <w:rFonts w:ascii="Times New Roman" w:hAnsi="Times New Roman" w:cs="Times New Roman"/>
          <w:i/>
          <w:sz w:val="20"/>
          <w:szCs w:val="20"/>
        </w:rPr>
        <w:t>1929-</w:t>
      </w:r>
      <w:r w:rsidRPr="00732322">
        <w:rPr>
          <w:rFonts w:ascii="Times New Roman" w:hAnsi="Times New Roman" w:cs="Times New Roman"/>
          <w:i/>
          <w:sz w:val="20"/>
          <w:szCs w:val="20"/>
        </w:rPr>
        <w:t>1960</w:t>
      </w:r>
      <w:r w:rsidRPr="00FB7F9C">
        <w:rPr>
          <w:rFonts w:ascii="Times New Roman" w:hAnsi="Times New Roman" w:cs="Times New Roman"/>
          <w:sz w:val="20"/>
          <w:szCs w:val="20"/>
        </w:rPr>
        <w:t xml:space="preserve"> (Cambridge, MA, 2002).</w:t>
      </w:r>
    </w:p>
  </w:footnote>
  <w:footnote w:id="24">
    <w:p w14:paraId="2389C362" w14:textId="2D90C063"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Manley, ‘New town urbanity’, 309.</w:t>
      </w:r>
    </w:p>
  </w:footnote>
  <w:footnote w:id="25">
    <w:p w14:paraId="240C463C" w14:textId="3F69E4E7"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006F27E4" w:rsidRPr="00FB7F9C">
        <w:rPr>
          <w:rFonts w:ascii="Times New Roman" w:hAnsi="Times New Roman" w:cs="Times New Roman"/>
          <w:sz w:val="20"/>
          <w:szCs w:val="20"/>
        </w:rPr>
        <w:t xml:space="preserve"> L. </w:t>
      </w:r>
      <w:r w:rsidRPr="00FB7F9C">
        <w:rPr>
          <w:rFonts w:ascii="Times New Roman" w:hAnsi="Times New Roman" w:cs="Times New Roman"/>
          <w:sz w:val="20"/>
          <w:szCs w:val="20"/>
        </w:rPr>
        <w:t xml:space="preserve">Pikó, </w:t>
      </w:r>
      <w:r w:rsidRPr="00FB7F9C">
        <w:rPr>
          <w:rFonts w:ascii="Times New Roman" w:hAnsi="Times New Roman" w:cs="Times New Roman"/>
          <w:i/>
          <w:sz w:val="20"/>
          <w:szCs w:val="20"/>
        </w:rPr>
        <w:t xml:space="preserve">Milton Keynes in British Culture: Imagining England </w:t>
      </w:r>
      <w:r w:rsidRPr="00FB7F9C">
        <w:rPr>
          <w:rFonts w:ascii="Times New Roman" w:hAnsi="Times New Roman" w:cs="Times New Roman"/>
          <w:sz w:val="20"/>
          <w:szCs w:val="20"/>
        </w:rPr>
        <w:t xml:space="preserve">(Abingdon, 2019).  </w:t>
      </w:r>
    </w:p>
  </w:footnote>
  <w:footnote w:id="26">
    <w:p w14:paraId="79A1E14A" w14:textId="57551BCE"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Mass, ‘At the heart of the city’,124.</w:t>
      </w:r>
    </w:p>
  </w:footnote>
  <w:footnote w:id="27">
    <w:p w14:paraId="2E1BAA67" w14:textId="6A563FAD"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008D5BEA" w:rsidRPr="00FB7F9C">
        <w:rPr>
          <w:rFonts w:ascii="Times New Roman" w:hAnsi="Times New Roman" w:cs="Times New Roman"/>
          <w:sz w:val="20"/>
          <w:szCs w:val="20"/>
        </w:rPr>
        <w:t xml:space="preserve"> I. </w:t>
      </w:r>
      <w:r w:rsidRPr="00FB7F9C">
        <w:rPr>
          <w:rFonts w:ascii="Times New Roman" w:hAnsi="Times New Roman" w:cs="Times New Roman"/>
          <w:sz w:val="20"/>
          <w:szCs w:val="20"/>
        </w:rPr>
        <w:t xml:space="preserve">Zweiniger-Bargielowska, ‘Rationing austerity and the Conservative Party recovery after 1945’, </w:t>
      </w:r>
      <w:r w:rsidRPr="00FB7F9C">
        <w:rPr>
          <w:rFonts w:ascii="Times New Roman" w:hAnsi="Times New Roman" w:cs="Times New Roman"/>
          <w:i/>
          <w:sz w:val="20"/>
          <w:szCs w:val="20"/>
        </w:rPr>
        <w:t>Historical Journal,</w:t>
      </w:r>
      <w:r w:rsidRPr="00FB7F9C">
        <w:rPr>
          <w:rFonts w:ascii="Times New Roman" w:hAnsi="Times New Roman" w:cs="Times New Roman"/>
          <w:sz w:val="20"/>
          <w:szCs w:val="20"/>
        </w:rPr>
        <w:t xml:space="preserve"> 37:1 (1994), 173–97.</w:t>
      </w:r>
    </w:p>
  </w:footnote>
  <w:footnote w:id="28">
    <w:p w14:paraId="7B374FFF" w14:textId="5CF2BB3D"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008D5BEA" w:rsidRPr="00FB7F9C">
        <w:rPr>
          <w:rFonts w:ascii="Times New Roman" w:hAnsi="Times New Roman" w:cs="Times New Roman"/>
          <w:sz w:val="20"/>
          <w:szCs w:val="20"/>
        </w:rPr>
        <w:t xml:space="preserve"> F. </w:t>
      </w:r>
      <w:r w:rsidRPr="00FB7F9C">
        <w:rPr>
          <w:rFonts w:ascii="Times New Roman" w:hAnsi="Times New Roman" w:cs="Times New Roman"/>
          <w:sz w:val="20"/>
          <w:szCs w:val="20"/>
        </w:rPr>
        <w:t xml:space="preserve">Trentmann, ‘Beyond consumerism: new historical perspective on consumption’, </w:t>
      </w:r>
      <w:r w:rsidRPr="00FB7F9C">
        <w:rPr>
          <w:rFonts w:ascii="Times New Roman" w:hAnsi="Times New Roman" w:cs="Times New Roman"/>
          <w:i/>
          <w:sz w:val="20"/>
          <w:szCs w:val="20"/>
        </w:rPr>
        <w:t>Journal of Contemporary History</w:t>
      </w:r>
      <w:r w:rsidRPr="00FB7F9C">
        <w:rPr>
          <w:rFonts w:ascii="Times New Roman" w:hAnsi="Times New Roman" w:cs="Times New Roman"/>
          <w:sz w:val="20"/>
          <w:szCs w:val="20"/>
        </w:rPr>
        <w:t>, 39:3 (2004), 387–91.</w:t>
      </w:r>
    </w:p>
  </w:footnote>
  <w:footnote w:id="29">
    <w:p w14:paraId="66FDC8D5" w14:textId="69C97DD5"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w:t>
      </w:r>
      <w:r w:rsidR="008D5BEA" w:rsidRPr="00FB7F9C">
        <w:rPr>
          <w:rFonts w:ascii="Times New Roman" w:hAnsi="Times New Roman" w:cs="Times New Roman"/>
          <w:sz w:val="20"/>
          <w:szCs w:val="20"/>
        </w:rPr>
        <w:t xml:space="preserve">J. </w:t>
      </w:r>
      <w:r w:rsidRPr="00FB7F9C">
        <w:rPr>
          <w:rFonts w:ascii="Times New Roman" w:hAnsi="Times New Roman" w:cs="Times New Roman"/>
          <w:sz w:val="20"/>
          <w:szCs w:val="20"/>
        </w:rPr>
        <w:t>Meredith, ‘Cities of the plan: visions of the built environment in northern England, c.1960–1985’, University of Washington Ph.D. thesis, 2018.</w:t>
      </w:r>
    </w:p>
  </w:footnote>
  <w:footnote w:id="30">
    <w:p w14:paraId="74A4C7FE" w14:textId="6A9AC2C2"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Meredith, ‘Cities of the plan’, 19.</w:t>
      </w:r>
    </w:p>
  </w:footnote>
  <w:footnote w:id="31">
    <w:p w14:paraId="110AEC7E" w14:textId="67C7B75B"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Meredith, ‘Cities of the plan’, 314. </w:t>
      </w:r>
    </w:p>
  </w:footnote>
  <w:footnote w:id="32">
    <w:p w14:paraId="4919553D" w14:textId="318AFC17"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Gunn, ‘The rise and fall of British urban modernism’, 858; J. Greenhalgh, ‘Consuming </w:t>
      </w:r>
      <w:r w:rsidR="008E16AD">
        <w:rPr>
          <w:rFonts w:ascii="Times New Roman" w:hAnsi="Times New Roman" w:cs="Times New Roman"/>
          <w:sz w:val="20"/>
          <w:szCs w:val="20"/>
        </w:rPr>
        <w:t>c</w:t>
      </w:r>
      <w:r w:rsidRPr="00FB7F9C">
        <w:rPr>
          <w:rFonts w:ascii="Times New Roman" w:hAnsi="Times New Roman" w:cs="Times New Roman"/>
          <w:sz w:val="20"/>
          <w:szCs w:val="20"/>
        </w:rPr>
        <w:t xml:space="preserve">ommunities: the neighbourhood unit and the role of retail spaces on British housing estates, 1944–1958’, </w:t>
      </w:r>
      <w:r w:rsidRPr="00FB7F9C">
        <w:rPr>
          <w:rFonts w:ascii="Times New Roman" w:hAnsi="Times New Roman" w:cs="Times New Roman"/>
          <w:i/>
          <w:sz w:val="20"/>
          <w:szCs w:val="20"/>
        </w:rPr>
        <w:t>Urban History</w:t>
      </w:r>
      <w:r w:rsidRPr="00FB7F9C">
        <w:rPr>
          <w:rFonts w:ascii="Times New Roman" w:hAnsi="Times New Roman" w:cs="Times New Roman"/>
          <w:sz w:val="20"/>
          <w:szCs w:val="20"/>
        </w:rPr>
        <w:t>, 43:1 (2016), 158–74.</w:t>
      </w:r>
    </w:p>
  </w:footnote>
  <w:footnote w:id="33">
    <w:p w14:paraId="40F9102F" w14:textId="6FC64AA1" w:rsidR="008D5BEA" w:rsidRPr="00FB7F9C" w:rsidRDefault="008D5BEA"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M. Parker, </w:t>
      </w:r>
      <w:r w:rsidR="003D7A56">
        <w:rPr>
          <w:rFonts w:ascii="Times New Roman" w:hAnsi="Times New Roman" w:cs="Times New Roman"/>
          <w:sz w:val="20"/>
          <w:szCs w:val="20"/>
        </w:rPr>
        <w:t>‘</w:t>
      </w:r>
      <w:r w:rsidRPr="00FB7F9C">
        <w:rPr>
          <w:rFonts w:ascii="Times New Roman" w:hAnsi="Times New Roman" w:cs="Times New Roman"/>
          <w:sz w:val="20"/>
          <w:szCs w:val="20"/>
        </w:rPr>
        <w:t>Making the city mobile: the place of the motor car in the planning of post-war Birmingham, c.1945–1973</w:t>
      </w:r>
      <w:r w:rsidR="003D7A56">
        <w:rPr>
          <w:rFonts w:ascii="Times New Roman" w:hAnsi="Times New Roman" w:cs="Times New Roman"/>
          <w:sz w:val="20"/>
          <w:szCs w:val="20"/>
        </w:rPr>
        <w:t>’</w:t>
      </w:r>
      <w:r w:rsidRPr="00FB7F9C">
        <w:rPr>
          <w:rFonts w:ascii="Times New Roman" w:hAnsi="Times New Roman" w:cs="Times New Roman"/>
          <w:sz w:val="20"/>
          <w:szCs w:val="20"/>
        </w:rPr>
        <w:t>, University of Leicester Ph.D. thesis, 2015, i.</w:t>
      </w:r>
    </w:p>
  </w:footnote>
  <w:footnote w:id="34">
    <w:p w14:paraId="38F894E4" w14:textId="3BF5CE4E" w:rsidR="008D5BEA" w:rsidRPr="00FB7F9C" w:rsidRDefault="008D5BEA"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S. Gunn, ‘People and the car: the expansion of </w:t>
      </w:r>
      <w:r w:rsidR="00362D01" w:rsidRPr="00FB7F9C">
        <w:rPr>
          <w:rFonts w:ascii="Times New Roman" w:hAnsi="Times New Roman" w:cs="Times New Roman"/>
          <w:sz w:val="20"/>
          <w:szCs w:val="20"/>
        </w:rPr>
        <w:t>automobility</w:t>
      </w:r>
      <w:r w:rsidRPr="00FB7F9C">
        <w:rPr>
          <w:rFonts w:ascii="Times New Roman" w:hAnsi="Times New Roman" w:cs="Times New Roman"/>
          <w:sz w:val="20"/>
          <w:szCs w:val="20"/>
        </w:rPr>
        <w:t xml:space="preserve"> in urban Britain, c. 1955-70’, </w:t>
      </w:r>
      <w:r w:rsidRPr="00FB7F9C">
        <w:rPr>
          <w:rFonts w:ascii="Times New Roman" w:hAnsi="Times New Roman" w:cs="Times New Roman"/>
          <w:i/>
          <w:sz w:val="20"/>
          <w:szCs w:val="20"/>
        </w:rPr>
        <w:t>Social History,</w:t>
      </w:r>
      <w:r w:rsidRPr="00FB7F9C">
        <w:rPr>
          <w:rFonts w:ascii="Times New Roman" w:hAnsi="Times New Roman" w:cs="Times New Roman"/>
          <w:sz w:val="20"/>
          <w:szCs w:val="20"/>
        </w:rPr>
        <w:t xml:space="preserve"> 38:2 (2013), 220–37; S. Gunn </w:t>
      </w:r>
      <w:r w:rsidR="00550901">
        <w:rPr>
          <w:rFonts w:ascii="Times New Roman" w:hAnsi="Times New Roman" w:cs="Times New Roman"/>
          <w:sz w:val="20"/>
          <w:szCs w:val="20"/>
        </w:rPr>
        <w:t>and</w:t>
      </w:r>
      <w:r w:rsidRPr="00FB7F9C">
        <w:rPr>
          <w:rFonts w:ascii="Times New Roman" w:hAnsi="Times New Roman" w:cs="Times New Roman"/>
          <w:sz w:val="20"/>
          <w:szCs w:val="20"/>
        </w:rPr>
        <w:t xml:space="preserve"> S.C. Townsend, </w:t>
      </w:r>
      <w:r w:rsidRPr="00FB7F9C">
        <w:rPr>
          <w:rFonts w:ascii="Times New Roman" w:hAnsi="Times New Roman" w:cs="Times New Roman"/>
          <w:i/>
          <w:sz w:val="20"/>
          <w:szCs w:val="20"/>
        </w:rPr>
        <w:t>Automobility and the City in Twentieth-Century Britain and Japan</w:t>
      </w:r>
      <w:r w:rsidRPr="00FB7F9C">
        <w:rPr>
          <w:rFonts w:ascii="Times New Roman" w:hAnsi="Times New Roman" w:cs="Times New Roman"/>
          <w:sz w:val="20"/>
          <w:szCs w:val="20"/>
        </w:rPr>
        <w:t xml:space="preserve"> (London, 2019). </w:t>
      </w:r>
    </w:p>
  </w:footnote>
  <w:footnote w:id="35">
    <w:p w14:paraId="7B89DFB5" w14:textId="52CF9185" w:rsidR="00E15549" w:rsidRPr="00FB7F9C" w:rsidRDefault="00E15549"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Parker, ‘Making the city mobile, 227’.</w:t>
      </w:r>
    </w:p>
  </w:footnote>
  <w:footnote w:id="36">
    <w:p w14:paraId="037B58C1" w14:textId="5FF858E8" w:rsidR="000D4337" w:rsidRPr="00FB7F9C" w:rsidRDefault="000D4337"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Kefford, </w:t>
      </w:r>
      <w:r w:rsidR="00E15549" w:rsidRPr="00FB7F9C">
        <w:rPr>
          <w:rFonts w:ascii="Times New Roman" w:hAnsi="Times New Roman" w:cs="Times New Roman"/>
          <w:sz w:val="20"/>
          <w:szCs w:val="20"/>
        </w:rPr>
        <w:t>‘</w:t>
      </w:r>
      <w:r w:rsidRPr="00FB7F9C">
        <w:rPr>
          <w:rFonts w:ascii="Times New Roman" w:hAnsi="Times New Roman" w:cs="Times New Roman"/>
          <w:sz w:val="20"/>
          <w:szCs w:val="20"/>
        </w:rPr>
        <w:t>Const</w:t>
      </w:r>
      <w:r w:rsidR="00E15549" w:rsidRPr="00FB7F9C">
        <w:rPr>
          <w:rFonts w:ascii="Times New Roman" w:hAnsi="Times New Roman" w:cs="Times New Roman"/>
          <w:sz w:val="20"/>
          <w:szCs w:val="20"/>
        </w:rPr>
        <w:t>ructing the affluent c</w:t>
      </w:r>
      <w:r w:rsidRPr="00FB7F9C">
        <w:rPr>
          <w:rFonts w:ascii="Times New Roman" w:hAnsi="Times New Roman" w:cs="Times New Roman"/>
          <w:sz w:val="20"/>
          <w:szCs w:val="20"/>
        </w:rPr>
        <w:t>itizen</w:t>
      </w:r>
      <w:r w:rsidR="00E15549" w:rsidRPr="00FB7F9C">
        <w:rPr>
          <w:rFonts w:ascii="Times New Roman" w:hAnsi="Times New Roman" w:cs="Times New Roman"/>
          <w:sz w:val="20"/>
          <w:szCs w:val="20"/>
        </w:rPr>
        <w:t>’</w:t>
      </w:r>
      <w:r w:rsidRPr="00FB7F9C">
        <w:rPr>
          <w:rFonts w:ascii="Times New Roman" w:hAnsi="Times New Roman" w:cs="Times New Roman"/>
          <w:sz w:val="20"/>
          <w:szCs w:val="20"/>
        </w:rPr>
        <w:t xml:space="preserve">, 112-18 </w:t>
      </w:r>
      <w:r w:rsidR="00550901">
        <w:rPr>
          <w:rFonts w:ascii="Times New Roman" w:hAnsi="Times New Roman" w:cs="Times New Roman"/>
          <w:sz w:val="20"/>
          <w:szCs w:val="20"/>
        </w:rPr>
        <w:t>and</w:t>
      </w:r>
      <w:r w:rsidRPr="00FB7F9C">
        <w:rPr>
          <w:rFonts w:ascii="Times New Roman" w:hAnsi="Times New Roman" w:cs="Times New Roman"/>
          <w:sz w:val="20"/>
          <w:szCs w:val="20"/>
        </w:rPr>
        <w:t xml:space="preserve"> ch.2 more generally.</w:t>
      </w:r>
    </w:p>
  </w:footnote>
  <w:footnote w:id="37">
    <w:p w14:paraId="2E088588" w14:textId="2339505C" w:rsidR="000D4337" w:rsidRPr="00FB7F9C" w:rsidRDefault="000D4337"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Kefford, </w:t>
      </w:r>
      <w:r w:rsidR="003D7A56" w:rsidRPr="003D7A56">
        <w:rPr>
          <w:rFonts w:ascii="Times New Roman" w:hAnsi="Times New Roman" w:cs="Times New Roman"/>
          <w:sz w:val="20"/>
          <w:szCs w:val="20"/>
        </w:rPr>
        <w:t>‘</w:t>
      </w:r>
      <w:r w:rsidRPr="003D7A56">
        <w:rPr>
          <w:rFonts w:ascii="Times New Roman" w:hAnsi="Times New Roman" w:cs="Times New Roman"/>
          <w:sz w:val="20"/>
          <w:szCs w:val="20"/>
        </w:rPr>
        <w:t xml:space="preserve">Constructing the </w:t>
      </w:r>
      <w:r w:rsidR="003D7A56">
        <w:rPr>
          <w:rFonts w:ascii="Times New Roman" w:hAnsi="Times New Roman" w:cs="Times New Roman"/>
          <w:sz w:val="20"/>
          <w:szCs w:val="20"/>
        </w:rPr>
        <w:t>a</w:t>
      </w:r>
      <w:r w:rsidRPr="003D7A56">
        <w:rPr>
          <w:rFonts w:ascii="Times New Roman" w:hAnsi="Times New Roman" w:cs="Times New Roman"/>
          <w:sz w:val="20"/>
          <w:szCs w:val="20"/>
        </w:rPr>
        <w:t xml:space="preserve">ffluent </w:t>
      </w:r>
      <w:r w:rsidR="003D7A56">
        <w:rPr>
          <w:rFonts w:ascii="Times New Roman" w:hAnsi="Times New Roman" w:cs="Times New Roman"/>
          <w:sz w:val="20"/>
          <w:szCs w:val="20"/>
        </w:rPr>
        <w:t>c</w:t>
      </w:r>
      <w:r w:rsidRPr="003D7A56">
        <w:rPr>
          <w:rFonts w:ascii="Times New Roman" w:hAnsi="Times New Roman" w:cs="Times New Roman"/>
          <w:sz w:val="20"/>
          <w:szCs w:val="20"/>
        </w:rPr>
        <w:t>itizen</w:t>
      </w:r>
      <w:r w:rsidR="003D7A56" w:rsidRPr="003D7A56">
        <w:rPr>
          <w:rFonts w:ascii="Times New Roman" w:hAnsi="Times New Roman" w:cs="Times New Roman"/>
          <w:sz w:val="20"/>
          <w:szCs w:val="20"/>
        </w:rPr>
        <w:t>’</w:t>
      </w:r>
      <w:r w:rsidRPr="00FB7F9C">
        <w:rPr>
          <w:rFonts w:ascii="Times New Roman" w:hAnsi="Times New Roman" w:cs="Times New Roman"/>
          <w:sz w:val="20"/>
          <w:szCs w:val="20"/>
        </w:rPr>
        <w:t xml:space="preserve">, 39. </w:t>
      </w:r>
    </w:p>
  </w:footnote>
  <w:footnote w:id="38">
    <w:p w14:paraId="38B1105E" w14:textId="7A79D584" w:rsidR="000B6960" w:rsidRPr="00FB7F9C" w:rsidRDefault="000B6960"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Parker, </w:t>
      </w:r>
      <w:r w:rsidR="003D7A56">
        <w:rPr>
          <w:rFonts w:ascii="Times New Roman" w:hAnsi="Times New Roman" w:cs="Times New Roman"/>
          <w:sz w:val="20"/>
          <w:szCs w:val="20"/>
        </w:rPr>
        <w:t>‘</w:t>
      </w:r>
      <w:r w:rsidRPr="00FB7F9C">
        <w:rPr>
          <w:rFonts w:ascii="Times New Roman" w:hAnsi="Times New Roman" w:cs="Times New Roman"/>
          <w:sz w:val="20"/>
          <w:szCs w:val="20"/>
        </w:rPr>
        <w:t>Making the city mobile</w:t>
      </w:r>
      <w:r w:rsidR="003D7A56">
        <w:rPr>
          <w:rFonts w:ascii="Times New Roman" w:hAnsi="Times New Roman" w:cs="Times New Roman"/>
          <w:sz w:val="20"/>
          <w:szCs w:val="20"/>
        </w:rPr>
        <w:t>’,</w:t>
      </w:r>
      <w:r w:rsidRPr="00FB7F9C">
        <w:rPr>
          <w:rFonts w:ascii="Times New Roman" w:hAnsi="Times New Roman" w:cs="Times New Roman"/>
          <w:sz w:val="20"/>
          <w:szCs w:val="20"/>
        </w:rPr>
        <w:t xml:space="preserve"> 229.</w:t>
      </w:r>
    </w:p>
  </w:footnote>
  <w:footnote w:id="39">
    <w:p w14:paraId="3AAB78D0" w14:textId="55779C90" w:rsidR="001D25B1" w:rsidRPr="00FB7F9C" w:rsidRDefault="001D25B1" w:rsidP="00732322">
      <w:pPr>
        <w:widowControl w:val="0"/>
        <w:autoSpaceDE w:val="0"/>
        <w:autoSpaceDN w:val="0"/>
        <w:adjustRightInd w:val="0"/>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J. Davis ‘Reshaping the welfare state? </w:t>
      </w:r>
      <w:r w:rsidR="003D7A56">
        <w:rPr>
          <w:rFonts w:ascii="Times New Roman" w:hAnsi="Times New Roman" w:cs="Times New Roman"/>
          <w:sz w:val="20"/>
          <w:szCs w:val="20"/>
        </w:rPr>
        <w:t>V</w:t>
      </w:r>
      <w:r w:rsidRPr="00FB7F9C">
        <w:rPr>
          <w:rFonts w:ascii="Times New Roman" w:hAnsi="Times New Roman" w:cs="Times New Roman"/>
          <w:sz w:val="20"/>
          <w:szCs w:val="20"/>
        </w:rPr>
        <w:t>oluntary action and community in London 1960–1975</w:t>
      </w:r>
      <w:r w:rsidR="008D5BEA" w:rsidRPr="00FB7F9C">
        <w:rPr>
          <w:rFonts w:ascii="Times New Roman" w:hAnsi="Times New Roman" w:cs="Times New Roman"/>
          <w:sz w:val="20"/>
          <w:szCs w:val="20"/>
        </w:rPr>
        <w:t>’</w:t>
      </w:r>
      <w:r w:rsidRPr="00FB7F9C">
        <w:rPr>
          <w:rFonts w:ascii="Times New Roman" w:hAnsi="Times New Roman" w:cs="Times New Roman"/>
          <w:sz w:val="20"/>
          <w:szCs w:val="20"/>
        </w:rPr>
        <w:t xml:space="preserve">, in L. Goldman (ed.), </w:t>
      </w:r>
      <w:r w:rsidRPr="00FB7F9C">
        <w:rPr>
          <w:rFonts w:ascii="Times New Roman" w:hAnsi="Times New Roman" w:cs="Times New Roman"/>
          <w:i/>
          <w:sz w:val="20"/>
          <w:szCs w:val="20"/>
        </w:rPr>
        <w:t>Welfare and Social Policy in Britain since 1870. Essays in Honour of Jose Harris</w:t>
      </w:r>
      <w:r w:rsidRPr="00FB7F9C">
        <w:rPr>
          <w:rFonts w:ascii="Times New Roman" w:hAnsi="Times New Roman" w:cs="Times New Roman"/>
          <w:sz w:val="20"/>
          <w:szCs w:val="20"/>
        </w:rPr>
        <w:t xml:space="preserve"> (Oxford, 2019) 197–212; J. Davis, ‘Community and the Labour left in 1970s London</w:t>
      </w:r>
      <w:r w:rsidR="00550901">
        <w:rPr>
          <w:rFonts w:ascii="Times New Roman" w:hAnsi="Times New Roman" w:cs="Times New Roman"/>
          <w:sz w:val="20"/>
          <w:szCs w:val="20"/>
        </w:rPr>
        <w:t xml:space="preserve">’, </w:t>
      </w:r>
      <w:r w:rsidRPr="00FB7F9C">
        <w:rPr>
          <w:rFonts w:ascii="Times New Roman" w:hAnsi="Times New Roman" w:cs="Times New Roman"/>
          <w:sz w:val="20"/>
          <w:szCs w:val="20"/>
        </w:rPr>
        <w:t xml:space="preserve"> in C. Williams and A. Edwards (eds.), </w:t>
      </w:r>
      <w:r w:rsidRPr="00FB7F9C">
        <w:rPr>
          <w:rFonts w:ascii="Times New Roman" w:hAnsi="Times New Roman" w:cs="Times New Roman"/>
          <w:i/>
          <w:sz w:val="20"/>
          <w:szCs w:val="20"/>
        </w:rPr>
        <w:t>The Art of the Possible: Politics and Governance in Modern British History, 1985–1997: Essays in memory of Duncan Tanner</w:t>
      </w:r>
      <w:r w:rsidR="008B7BB4" w:rsidRPr="00FB7F9C">
        <w:rPr>
          <w:rFonts w:ascii="Times New Roman" w:hAnsi="Times New Roman" w:cs="Times New Roman"/>
          <w:sz w:val="20"/>
          <w:szCs w:val="20"/>
        </w:rPr>
        <w:t xml:space="preserve"> (Manchester, 2015): 207–</w:t>
      </w:r>
      <w:r w:rsidRPr="00FB7F9C">
        <w:rPr>
          <w:rFonts w:ascii="Times New Roman" w:hAnsi="Times New Roman" w:cs="Times New Roman"/>
          <w:sz w:val="20"/>
          <w:szCs w:val="20"/>
        </w:rPr>
        <w:t xml:space="preserve">23; P. Shapely, </w:t>
      </w:r>
      <w:r w:rsidRPr="00FB7F9C">
        <w:rPr>
          <w:rFonts w:ascii="Times New Roman" w:hAnsi="Times New Roman" w:cs="Times New Roman"/>
          <w:i/>
          <w:sz w:val="20"/>
          <w:szCs w:val="20"/>
        </w:rPr>
        <w:t>Deprivation, State Interventions and Urban Communities in Britain, 1968–79</w:t>
      </w:r>
      <w:r w:rsidRPr="00FB7F9C">
        <w:rPr>
          <w:rFonts w:ascii="Times New Roman" w:hAnsi="Times New Roman" w:cs="Times New Roman"/>
          <w:sz w:val="20"/>
          <w:szCs w:val="20"/>
        </w:rPr>
        <w:t xml:space="preserve"> (Abingdon, 2018).</w:t>
      </w:r>
    </w:p>
  </w:footnote>
  <w:footnote w:id="40">
    <w:p w14:paraId="55B0F997" w14:textId="4426CEFA"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D. Ellis, ‘Pavement politics: community action in Leeds, c.1960–1990’, University of York Ph.D. thesis, 2015.</w:t>
      </w:r>
    </w:p>
  </w:footnote>
  <w:footnote w:id="41">
    <w:p w14:paraId="5E156929" w14:textId="12872546"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Ellis, ‘Pavement politics’, 18.</w:t>
      </w:r>
    </w:p>
  </w:footnote>
  <w:footnote w:id="42">
    <w:p w14:paraId="5D440146" w14:textId="68BE29CF" w:rsidR="001D25B1" w:rsidRPr="00FB7F9C" w:rsidRDefault="001D25B1"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On the reformulation of the British working</w:t>
      </w:r>
      <w:r w:rsidR="003D7A56">
        <w:rPr>
          <w:rFonts w:ascii="Times New Roman" w:hAnsi="Times New Roman" w:cs="Times New Roman"/>
          <w:sz w:val="20"/>
          <w:szCs w:val="20"/>
        </w:rPr>
        <w:t xml:space="preserve"> </w:t>
      </w:r>
      <w:r w:rsidRPr="00FB7F9C">
        <w:rPr>
          <w:rFonts w:ascii="Times New Roman" w:hAnsi="Times New Roman" w:cs="Times New Roman"/>
          <w:sz w:val="20"/>
          <w:szCs w:val="20"/>
        </w:rPr>
        <w:t>classes as consumer</w:t>
      </w:r>
      <w:r w:rsidR="003D7A56">
        <w:rPr>
          <w:rFonts w:ascii="Times New Roman" w:hAnsi="Times New Roman" w:cs="Times New Roman"/>
          <w:sz w:val="20"/>
          <w:szCs w:val="20"/>
        </w:rPr>
        <w:t>s</w:t>
      </w:r>
      <w:r w:rsidRPr="00FB7F9C">
        <w:rPr>
          <w:rFonts w:ascii="Times New Roman" w:hAnsi="Times New Roman" w:cs="Times New Roman"/>
          <w:sz w:val="20"/>
          <w:szCs w:val="20"/>
        </w:rPr>
        <w:t xml:space="preserve"> see: A. Offer, ‘British manual workers: from producers to consumers, c.1950–2000’, </w:t>
      </w:r>
      <w:r w:rsidRPr="00FB7F9C">
        <w:rPr>
          <w:rFonts w:ascii="Times New Roman" w:hAnsi="Times New Roman" w:cs="Times New Roman"/>
          <w:i/>
          <w:sz w:val="20"/>
          <w:szCs w:val="20"/>
        </w:rPr>
        <w:t>Contemporary British History</w:t>
      </w:r>
      <w:r w:rsidRPr="00FB7F9C">
        <w:rPr>
          <w:rFonts w:ascii="Times New Roman" w:hAnsi="Times New Roman" w:cs="Times New Roman"/>
          <w:sz w:val="20"/>
          <w:szCs w:val="20"/>
        </w:rPr>
        <w:t xml:space="preserve">, 22:4 (2008), 537–71. On citizens as consumers of welfare etc, see: M. Hilton, ‘The Birmingham Consumer’s Group and affluent Britain’, in Black and Pemberton (eds.), </w:t>
      </w:r>
      <w:r w:rsidRPr="00FB7F9C">
        <w:rPr>
          <w:rFonts w:ascii="Times New Roman" w:hAnsi="Times New Roman" w:cs="Times New Roman"/>
          <w:i/>
          <w:sz w:val="20"/>
          <w:szCs w:val="20"/>
        </w:rPr>
        <w:t>An Affluent Society?</w:t>
      </w:r>
      <w:r w:rsidR="008D1E20">
        <w:rPr>
          <w:rFonts w:ascii="Times New Roman" w:hAnsi="Times New Roman" w:cs="Times New Roman"/>
          <w:i/>
          <w:sz w:val="20"/>
          <w:szCs w:val="20"/>
        </w:rPr>
        <w:t>,</w:t>
      </w:r>
      <w:r w:rsidRPr="00FB7F9C">
        <w:rPr>
          <w:rFonts w:ascii="Times New Roman" w:hAnsi="Times New Roman" w:cs="Times New Roman"/>
          <w:sz w:val="20"/>
          <w:szCs w:val="20"/>
        </w:rPr>
        <w:t xml:space="preserve"> 167–84; P. Shapely, </w:t>
      </w:r>
      <w:r w:rsidRPr="00FB7F9C">
        <w:rPr>
          <w:rFonts w:ascii="Times New Roman" w:hAnsi="Times New Roman" w:cs="Times New Roman"/>
          <w:i/>
          <w:sz w:val="20"/>
          <w:szCs w:val="20"/>
        </w:rPr>
        <w:t>The Politics of Housing: Power, Consumers and Urban Culture</w:t>
      </w:r>
      <w:r w:rsidRPr="00FB7F9C">
        <w:rPr>
          <w:rFonts w:ascii="Times New Roman" w:hAnsi="Times New Roman" w:cs="Times New Roman"/>
          <w:sz w:val="20"/>
          <w:szCs w:val="20"/>
        </w:rPr>
        <w:t xml:space="preserve"> (Manchester, 2007).</w:t>
      </w:r>
    </w:p>
  </w:footnote>
  <w:footnote w:id="43">
    <w:p w14:paraId="2972C8FF" w14:textId="276D6CA2" w:rsidR="00092144" w:rsidRPr="00FB7F9C" w:rsidRDefault="00092144"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A. Andrews, </w:t>
      </w:r>
      <w:r w:rsidR="003D7A56">
        <w:rPr>
          <w:rFonts w:ascii="Times New Roman" w:hAnsi="Times New Roman" w:cs="Times New Roman"/>
          <w:sz w:val="20"/>
          <w:szCs w:val="20"/>
        </w:rPr>
        <w:t>‘</w:t>
      </w:r>
      <w:r w:rsidRPr="00FB7F9C">
        <w:rPr>
          <w:rFonts w:ascii="Times New Roman" w:hAnsi="Times New Roman" w:cs="Times New Roman"/>
          <w:sz w:val="20"/>
          <w:szCs w:val="20"/>
        </w:rPr>
        <w:t>Decline and the city: the urban crisis in Liverpool, c.1968–1986</w:t>
      </w:r>
      <w:r w:rsidR="003D7A56">
        <w:rPr>
          <w:rFonts w:ascii="Times New Roman" w:hAnsi="Times New Roman" w:cs="Times New Roman"/>
          <w:sz w:val="20"/>
          <w:szCs w:val="20"/>
        </w:rPr>
        <w:t>’</w:t>
      </w:r>
      <w:r w:rsidRPr="00FB7F9C">
        <w:rPr>
          <w:rFonts w:ascii="Times New Roman" w:hAnsi="Times New Roman" w:cs="Times New Roman"/>
          <w:sz w:val="20"/>
          <w:szCs w:val="20"/>
        </w:rPr>
        <w:t>, University of Leicester Ph.D. thesis, 2018.</w:t>
      </w:r>
    </w:p>
  </w:footnote>
  <w:footnote w:id="44">
    <w:p w14:paraId="54FC3EF4" w14:textId="5A65D778" w:rsidR="0030464F" w:rsidRPr="00FB7F9C" w:rsidRDefault="0030464F"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w:t>
      </w:r>
      <w:r w:rsidR="00A3129C" w:rsidRPr="00FB7F9C">
        <w:rPr>
          <w:rFonts w:ascii="Times New Roman" w:hAnsi="Times New Roman" w:cs="Times New Roman"/>
          <w:sz w:val="20"/>
          <w:szCs w:val="20"/>
        </w:rPr>
        <w:t xml:space="preserve">O. Saumarez Smith, ‘The inner city crisis and the end of urban modernism in 1970s Britain’, </w:t>
      </w:r>
      <w:r w:rsidR="00A3129C" w:rsidRPr="003D7A56">
        <w:rPr>
          <w:rFonts w:ascii="Times New Roman" w:hAnsi="Times New Roman" w:cs="Times New Roman"/>
          <w:i/>
          <w:iCs/>
          <w:sz w:val="20"/>
          <w:szCs w:val="20"/>
        </w:rPr>
        <w:t>Twentieth Century British History</w:t>
      </w:r>
      <w:r w:rsidR="003D7A56" w:rsidRPr="003D7A56">
        <w:rPr>
          <w:rFonts w:ascii="Times New Roman" w:hAnsi="Times New Roman" w:cs="Times New Roman"/>
          <w:i/>
          <w:iCs/>
          <w:sz w:val="20"/>
          <w:szCs w:val="20"/>
        </w:rPr>
        <w:t>,</w:t>
      </w:r>
      <w:r w:rsidR="00A3129C" w:rsidRPr="00FB7F9C">
        <w:rPr>
          <w:rFonts w:ascii="Times New Roman" w:hAnsi="Times New Roman" w:cs="Times New Roman"/>
          <w:sz w:val="20"/>
          <w:szCs w:val="20"/>
        </w:rPr>
        <w:t xml:space="preserve"> 27:4 (2016), 578</w:t>
      </w:r>
      <w:r w:rsidR="003D7A56">
        <w:rPr>
          <w:rFonts w:ascii="Times New Roman" w:hAnsi="Times New Roman" w:cs="Times New Roman"/>
          <w:sz w:val="20"/>
          <w:szCs w:val="20"/>
        </w:rPr>
        <w:t>–</w:t>
      </w:r>
      <w:r w:rsidR="00A3129C" w:rsidRPr="00FB7F9C">
        <w:rPr>
          <w:rFonts w:ascii="Times New Roman" w:hAnsi="Times New Roman" w:cs="Times New Roman"/>
          <w:sz w:val="20"/>
          <w:szCs w:val="20"/>
        </w:rPr>
        <w:t xml:space="preserve">98. </w:t>
      </w:r>
    </w:p>
  </w:footnote>
  <w:footnote w:id="45">
    <w:p w14:paraId="2FE23E4C" w14:textId="20975016" w:rsidR="005436CB" w:rsidRPr="00FB7F9C" w:rsidRDefault="005436CB" w:rsidP="00732322">
      <w:pPr>
        <w:pStyle w:val="FootnoteText"/>
        <w:rPr>
          <w:rFonts w:ascii="Times New Roman" w:hAnsi="Times New Roman" w:cs="Times New Roman"/>
          <w:sz w:val="20"/>
          <w:szCs w:val="20"/>
        </w:rPr>
      </w:pPr>
      <w:r w:rsidRPr="00FB7F9C">
        <w:rPr>
          <w:rStyle w:val="FootnoteReference"/>
          <w:rFonts w:ascii="Times New Roman" w:hAnsi="Times New Roman" w:cs="Times New Roman"/>
          <w:sz w:val="20"/>
          <w:szCs w:val="20"/>
        </w:rPr>
        <w:footnoteRef/>
      </w:r>
      <w:r w:rsidRPr="00FB7F9C">
        <w:rPr>
          <w:rFonts w:ascii="Times New Roman" w:hAnsi="Times New Roman" w:cs="Times New Roman"/>
          <w:sz w:val="20"/>
          <w:szCs w:val="20"/>
        </w:rPr>
        <w:t xml:space="preserve"> J. Tomlinson, ‘Thrice denied: “</w:t>
      </w:r>
      <w:proofErr w:type="spellStart"/>
      <w:r w:rsidRPr="00FB7F9C">
        <w:rPr>
          <w:rFonts w:ascii="Times New Roman" w:hAnsi="Times New Roman" w:cs="Times New Roman"/>
          <w:sz w:val="20"/>
          <w:szCs w:val="20"/>
        </w:rPr>
        <w:t>declinism</w:t>
      </w:r>
      <w:proofErr w:type="spellEnd"/>
      <w:r w:rsidRPr="00FB7F9C">
        <w:rPr>
          <w:rFonts w:ascii="Times New Roman" w:hAnsi="Times New Roman" w:cs="Times New Roman"/>
          <w:sz w:val="20"/>
          <w:szCs w:val="20"/>
        </w:rPr>
        <w:t xml:space="preserve">” as a recurrent theme in British history in the long twentieth century’, </w:t>
      </w:r>
      <w:r w:rsidRPr="00FB7F9C">
        <w:rPr>
          <w:rFonts w:ascii="Times New Roman" w:hAnsi="Times New Roman" w:cs="Times New Roman"/>
          <w:i/>
          <w:sz w:val="20"/>
          <w:szCs w:val="20"/>
        </w:rPr>
        <w:t>Twentieth Century British History</w:t>
      </w:r>
      <w:r w:rsidR="00550901">
        <w:rPr>
          <w:rFonts w:ascii="Times New Roman" w:hAnsi="Times New Roman" w:cs="Times New Roman"/>
          <w:sz w:val="20"/>
          <w:szCs w:val="20"/>
        </w:rPr>
        <w:t>,</w:t>
      </w:r>
      <w:r w:rsidRPr="00FB7F9C">
        <w:rPr>
          <w:rFonts w:ascii="Times New Roman" w:hAnsi="Times New Roman" w:cs="Times New Roman"/>
          <w:sz w:val="20"/>
          <w:szCs w:val="20"/>
        </w:rPr>
        <w:t xml:space="preserve"> 20:2</w:t>
      </w:r>
      <w:r w:rsidR="00EE6355" w:rsidRPr="00FB7F9C">
        <w:rPr>
          <w:rFonts w:ascii="Times New Roman" w:hAnsi="Times New Roman" w:cs="Times New Roman"/>
          <w:sz w:val="20"/>
          <w:szCs w:val="20"/>
        </w:rPr>
        <w:t xml:space="preserve"> (2009), 227–</w:t>
      </w:r>
      <w:r w:rsidRPr="00FB7F9C">
        <w:rPr>
          <w:rFonts w:ascii="Times New Roman" w:hAnsi="Times New Roman" w:cs="Times New Roman"/>
          <w:sz w:val="20"/>
          <w:szCs w:val="20"/>
        </w:rPr>
        <w:t>51.</w:t>
      </w:r>
    </w:p>
  </w:footnote>
  <w:footnote w:id="46">
    <w:p w14:paraId="4D6111C3" w14:textId="0857D4B6" w:rsidR="00CE3C31" w:rsidRPr="00C029FC" w:rsidRDefault="00CE3C31" w:rsidP="00732322">
      <w:pPr>
        <w:pStyle w:val="FootnoteText"/>
        <w:rPr>
          <w:rFonts w:ascii="Times New Roman" w:hAnsi="Times New Roman" w:cs="Times New Roman"/>
          <w:sz w:val="20"/>
          <w:szCs w:val="20"/>
        </w:rPr>
      </w:pPr>
      <w:r w:rsidRPr="00C029FC">
        <w:rPr>
          <w:rStyle w:val="FootnoteReference"/>
          <w:rFonts w:ascii="Times New Roman" w:hAnsi="Times New Roman" w:cs="Times New Roman"/>
          <w:sz w:val="20"/>
          <w:szCs w:val="20"/>
        </w:rPr>
        <w:footnoteRef/>
      </w:r>
      <w:r w:rsidRPr="00C029FC">
        <w:rPr>
          <w:rFonts w:ascii="Times New Roman" w:hAnsi="Times New Roman" w:cs="Times New Roman"/>
          <w:sz w:val="20"/>
          <w:szCs w:val="20"/>
        </w:rPr>
        <w:t xml:space="preserve"> D</w:t>
      </w:r>
      <w:r w:rsidR="00C029FC">
        <w:rPr>
          <w:rFonts w:ascii="Times New Roman" w:hAnsi="Times New Roman" w:cs="Times New Roman"/>
          <w:sz w:val="20"/>
          <w:szCs w:val="20"/>
        </w:rPr>
        <w:t xml:space="preserve">. </w:t>
      </w:r>
      <w:r w:rsidRPr="00C029FC">
        <w:rPr>
          <w:rFonts w:ascii="Times New Roman" w:hAnsi="Times New Roman" w:cs="Times New Roman"/>
          <w:sz w:val="20"/>
          <w:szCs w:val="20"/>
        </w:rPr>
        <w:t xml:space="preserve">Egerton, </w:t>
      </w:r>
      <w:r w:rsidRPr="00C029FC">
        <w:rPr>
          <w:rFonts w:ascii="Times New Roman" w:hAnsi="Times New Roman" w:cs="Times New Roman"/>
          <w:i/>
          <w:iCs/>
          <w:sz w:val="20"/>
          <w:szCs w:val="20"/>
        </w:rPr>
        <w:t>The Rise and Fall of the British Nation: A Twentieth-Century History</w:t>
      </w:r>
      <w:r w:rsidRPr="00C029FC">
        <w:rPr>
          <w:rFonts w:ascii="Times New Roman" w:hAnsi="Times New Roman" w:cs="Times New Roman"/>
          <w:sz w:val="20"/>
          <w:szCs w:val="20"/>
        </w:rPr>
        <w:t xml:space="preserve"> (London, 2018), for example</w:t>
      </w:r>
      <w:r w:rsidR="00C029FC" w:rsidRPr="00C029FC">
        <w:rPr>
          <w:rFonts w:ascii="Times New Roman" w:hAnsi="Times New Roman" w:cs="Times New Roman"/>
          <w:sz w:val="20"/>
          <w:szCs w:val="20"/>
        </w:rPr>
        <w:t xml:space="preserve"> xxix and 281;</w:t>
      </w:r>
      <w:r w:rsidRPr="00C029FC">
        <w:rPr>
          <w:rFonts w:ascii="Times New Roman" w:hAnsi="Times New Roman" w:cs="Times New Roman"/>
          <w:sz w:val="20"/>
          <w:szCs w:val="20"/>
        </w:rPr>
        <w:t xml:space="preserve"> Ortolano, </w:t>
      </w:r>
      <w:r w:rsidRPr="00C029FC">
        <w:rPr>
          <w:rFonts w:ascii="Times New Roman" w:hAnsi="Times New Roman" w:cs="Times New Roman"/>
          <w:i/>
          <w:sz w:val="20"/>
          <w:szCs w:val="20"/>
        </w:rPr>
        <w:t>Thatcher’s Progress</w:t>
      </w:r>
      <w:r w:rsidR="00C029FC">
        <w:rPr>
          <w:rFonts w:ascii="Times New Roman" w:hAnsi="Times New Roman" w:cs="Times New Roman"/>
          <w:i/>
          <w:sz w:val="20"/>
          <w:szCs w:val="20"/>
        </w:rPr>
        <w:t xml:space="preserve">, </w:t>
      </w:r>
      <w:r w:rsidR="00C029FC" w:rsidRPr="00C029FC">
        <w:rPr>
          <w:rFonts w:ascii="Times New Roman" w:hAnsi="Times New Roman" w:cs="Times New Roman"/>
          <w:iCs/>
          <w:sz w:val="20"/>
          <w:szCs w:val="20"/>
        </w:rPr>
        <w:t>17–21</w:t>
      </w:r>
      <w:r w:rsidR="00C029FC">
        <w:rPr>
          <w:rFonts w:ascii="Times New Roman" w:hAnsi="Times New Roman" w:cs="Times New Roman"/>
          <w:iCs/>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90E"/>
    <w:rsid w:val="0001279D"/>
    <w:rsid w:val="0003060E"/>
    <w:rsid w:val="000518E5"/>
    <w:rsid w:val="000743D5"/>
    <w:rsid w:val="00084418"/>
    <w:rsid w:val="00092144"/>
    <w:rsid w:val="000967A3"/>
    <w:rsid w:val="000A04C2"/>
    <w:rsid w:val="000A6CD1"/>
    <w:rsid w:val="000A703C"/>
    <w:rsid w:val="000B49B2"/>
    <w:rsid w:val="000B6960"/>
    <w:rsid w:val="000C59EB"/>
    <w:rsid w:val="000D4337"/>
    <w:rsid w:val="000D5D74"/>
    <w:rsid w:val="000F5F27"/>
    <w:rsid w:val="00101B51"/>
    <w:rsid w:val="00103FDD"/>
    <w:rsid w:val="00114655"/>
    <w:rsid w:val="001559B1"/>
    <w:rsid w:val="00164624"/>
    <w:rsid w:val="00175724"/>
    <w:rsid w:val="0018020B"/>
    <w:rsid w:val="00183F14"/>
    <w:rsid w:val="0019340C"/>
    <w:rsid w:val="00196B02"/>
    <w:rsid w:val="001C4152"/>
    <w:rsid w:val="001D25B1"/>
    <w:rsid w:val="001F04F6"/>
    <w:rsid w:val="0020447D"/>
    <w:rsid w:val="00212A90"/>
    <w:rsid w:val="00214743"/>
    <w:rsid w:val="00241700"/>
    <w:rsid w:val="00260BC9"/>
    <w:rsid w:val="00281F49"/>
    <w:rsid w:val="002A22D3"/>
    <w:rsid w:val="002D380C"/>
    <w:rsid w:val="002D4FEE"/>
    <w:rsid w:val="002D5213"/>
    <w:rsid w:val="002E3FDA"/>
    <w:rsid w:val="002E4A67"/>
    <w:rsid w:val="0030464F"/>
    <w:rsid w:val="00307DAF"/>
    <w:rsid w:val="00312947"/>
    <w:rsid w:val="00346EDA"/>
    <w:rsid w:val="00352635"/>
    <w:rsid w:val="003560CA"/>
    <w:rsid w:val="00362D01"/>
    <w:rsid w:val="003767DD"/>
    <w:rsid w:val="00383FB3"/>
    <w:rsid w:val="00386EA7"/>
    <w:rsid w:val="00395A10"/>
    <w:rsid w:val="003B60A7"/>
    <w:rsid w:val="003C103C"/>
    <w:rsid w:val="003C5339"/>
    <w:rsid w:val="003C7DFA"/>
    <w:rsid w:val="003D3CC2"/>
    <w:rsid w:val="003D7A56"/>
    <w:rsid w:val="003F1441"/>
    <w:rsid w:val="003F4556"/>
    <w:rsid w:val="003F782A"/>
    <w:rsid w:val="004011ED"/>
    <w:rsid w:val="00416D3C"/>
    <w:rsid w:val="00420CA4"/>
    <w:rsid w:val="00427D9E"/>
    <w:rsid w:val="00444B00"/>
    <w:rsid w:val="00445016"/>
    <w:rsid w:val="0045579A"/>
    <w:rsid w:val="00460E47"/>
    <w:rsid w:val="0046250A"/>
    <w:rsid w:val="00475C36"/>
    <w:rsid w:val="004843F6"/>
    <w:rsid w:val="00484C68"/>
    <w:rsid w:val="004A75C8"/>
    <w:rsid w:val="004B42A3"/>
    <w:rsid w:val="004C6B0A"/>
    <w:rsid w:val="004D6A58"/>
    <w:rsid w:val="004F17F6"/>
    <w:rsid w:val="004F2928"/>
    <w:rsid w:val="005044DB"/>
    <w:rsid w:val="0053650A"/>
    <w:rsid w:val="005424ED"/>
    <w:rsid w:val="005436CB"/>
    <w:rsid w:val="00550901"/>
    <w:rsid w:val="00553A20"/>
    <w:rsid w:val="00553F47"/>
    <w:rsid w:val="00566917"/>
    <w:rsid w:val="005A20AC"/>
    <w:rsid w:val="005A35D1"/>
    <w:rsid w:val="005A47F3"/>
    <w:rsid w:val="005C0A72"/>
    <w:rsid w:val="005C2D68"/>
    <w:rsid w:val="005E4A3E"/>
    <w:rsid w:val="005F2BD3"/>
    <w:rsid w:val="005F7954"/>
    <w:rsid w:val="00613988"/>
    <w:rsid w:val="00621270"/>
    <w:rsid w:val="006265E7"/>
    <w:rsid w:val="00627E76"/>
    <w:rsid w:val="00637CE4"/>
    <w:rsid w:val="00652B8B"/>
    <w:rsid w:val="006609D4"/>
    <w:rsid w:val="0067240C"/>
    <w:rsid w:val="00683B02"/>
    <w:rsid w:val="00686AD7"/>
    <w:rsid w:val="006A1D9A"/>
    <w:rsid w:val="006B367B"/>
    <w:rsid w:val="006D3761"/>
    <w:rsid w:val="006E03BD"/>
    <w:rsid w:val="006E3950"/>
    <w:rsid w:val="006E6A8F"/>
    <w:rsid w:val="006F27E4"/>
    <w:rsid w:val="006F66BC"/>
    <w:rsid w:val="00705310"/>
    <w:rsid w:val="007148AE"/>
    <w:rsid w:val="00732322"/>
    <w:rsid w:val="00735016"/>
    <w:rsid w:val="007D1FE9"/>
    <w:rsid w:val="007E4ECC"/>
    <w:rsid w:val="007F4786"/>
    <w:rsid w:val="00820DCC"/>
    <w:rsid w:val="00822FCD"/>
    <w:rsid w:val="00830434"/>
    <w:rsid w:val="0086308B"/>
    <w:rsid w:val="008631C3"/>
    <w:rsid w:val="00871E1E"/>
    <w:rsid w:val="0087690B"/>
    <w:rsid w:val="0088197E"/>
    <w:rsid w:val="00891428"/>
    <w:rsid w:val="008B2773"/>
    <w:rsid w:val="008B7BB4"/>
    <w:rsid w:val="008D1E20"/>
    <w:rsid w:val="008D5BEA"/>
    <w:rsid w:val="008E16AD"/>
    <w:rsid w:val="008F1CF0"/>
    <w:rsid w:val="00924FDF"/>
    <w:rsid w:val="0092582D"/>
    <w:rsid w:val="0095519B"/>
    <w:rsid w:val="00975AC3"/>
    <w:rsid w:val="009816AE"/>
    <w:rsid w:val="009833C3"/>
    <w:rsid w:val="00985771"/>
    <w:rsid w:val="009B17FD"/>
    <w:rsid w:val="009C791E"/>
    <w:rsid w:val="009D3400"/>
    <w:rsid w:val="009F12B5"/>
    <w:rsid w:val="00A0588A"/>
    <w:rsid w:val="00A20762"/>
    <w:rsid w:val="00A3129C"/>
    <w:rsid w:val="00A42F4C"/>
    <w:rsid w:val="00A46971"/>
    <w:rsid w:val="00A52FBF"/>
    <w:rsid w:val="00A54206"/>
    <w:rsid w:val="00A74243"/>
    <w:rsid w:val="00A82CD1"/>
    <w:rsid w:val="00A9419D"/>
    <w:rsid w:val="00AD7049"/>
    <w:rsid w:val="00AE1986"/>
    <w:rsid w:val="00B07844"/>
    <w:rsid w:val="00B20CD2"/>
    <w:rsid w:val="00B23F09"/>
    <w:rsid w:val="00B25D2D"/>
    <w:rsid w:val="00B41EBB"/>
    <w:rsid w:val="00B4335B"/>
    <w:rsid w:val="00B519E6"/>
    <w:rsid w:val="00B61D2F"/>
    <w:rsid w:val="00B725E0"/>
    <w:rsid w:val="00B90A64"/>
    <w:rsid w:val="00B97CEA"/>
    <w:rsid w:val="00BA1336"/>
    <w:rsid w:val="00BA3F42"/>
    <w:rsid w:val="00BB0F06"/>
    <w:rsid w:val="00BD3A83"/>
    <w:rsid w:val="00BD6EF8"/>
    <w:rsid w:val="00BE5C2E"/>
    <w:rsid w:val="00BF2974"/>
    <w:rsid w:val="00BF434D"/>
    <w:rsid w:val="00BF52AE"/>
    <w:rsid w:val="00C029FC"/>
    <w:rsid w:val="00C079A2"/>
    <w:rsid w:val="00C167DE"/>
    <w:rsid w:val="00C32E40"/>
    <w:rsid w:val="00C543CD"/>
    <w:rsid w:val="00C64E09"/>
    <w:rsid w:val="00C676C7"/>
    <w:rsid w:val="00C74F80"/>
    <w:rsid w:val="00C83300"/>
    <w:rsid w:val="00CA6873"/>
    <w:rsid w:val="00CB6B50"/>
    <w:rsid w:val="00CB7E8A"/>
    <w:rsid w:val="00CD4B33"/>
    <w:rsid w:val="00CE3C31"/>
    <w:rsid w:val="00D453FC"/>
    <w:rsid w:val="00DA0C65"/>
    <w:rsid w:val="00DA2A26"/>
    <w:rsid w:val="00DC3691"/>
    <w:rsid w:val="00DD41F1"/>
    <w:rsid w:val="00DD7161"/>
    <w:rsid w:val="00DE0F7A"/>
    <w:rsid w:val="00DE2C24"/>
    <w:rsid w:val="00DE655E"/>
    <w:rsid w:val="00DE72F3"/>
    <w:rsid w:val="00DE7619"/>
    <w:rsid w:val="00E15549"/>
    <w:rsid w:val="00E162FF"/>
    <w:rsid w:val="00E16E03"/>
    <w:rsid w:val="00E22D28"/>
    <w:rsid w:val="00E248DC"/>
    <w:rsid w:val="00E250D4"/>
    <w:rsid w:val="00E250F8"/>
    <w:rsid w:val="00E276A0"/>
    <w:rsid w:val="00E34007"/>
    <w:rsid w:val="00E46BE6"/>
    <w:rsid w:val="00E500E4"/>
    <w:rsid w:val="00E76112"/>
    <w:rsid w:val="00E85EE3"/>
    <w:rsid w:val="00E92478"/>
    <w:rsid w:val="00EB7154"/>
    <w:rsid w:val="00EC6D3D"/>
    <w:rsid w:val="00ED60B3"/>
    <w:rsid w:val="00EE0218"/>
    <w:rsid w:val="00EE6355"/>
    <w:rsid w:val="00EF1461"/>
    <w:rsid w:val="00F019E6"/>
    <w:rsid w:val="00F250A2"/>
    <w:rsid w:val="00F256DC"/>
    <w:rsid w:val="00F32987"/>
    <w:rsid w:val="00F4690E"/>
    <w:rsid w:val="00F46D28"/>
    <w:rsid w:val="00F53C65"/>
    <w:rsid w:val="00F5618C"/>
    <w:rsid w:val="00F954B2"/>
    <w:rsid w:val="00F956DD"/>
    <w:rsid w:val="00FB0FD0"/>
    <w:rsid w:val="00FB7F9C"/>
    <w:rsid w:val="00FD3759"/>
    <w:rsid w:val="00FF16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67A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90E"/>
    <w:rPr>
      <w:rFonts w:ascii="Gill Sans MT" w:hAnsi="Gill Sans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4690E"/>
  </w:style>
  <w:style w:type="character" w:customStyle="1" w:styleId="FootnoteTextChar">
    <w:name w:val="Footnote Text Char"/>
    <w:basedOn w:val="DefaultParagraphFont"/>
    <w:link w:val="FootnoteText"/>
    <w:uiPriority w:val="99"/>
    <w:rsid w:val="00F4690E"/>
    <w:rPr>
      <w:rFonts w:ascii="Gill Sans MT" w:hAnsi="Gill Sans MT"/>
    </w:rPr>
  </w:style>
  <w:style w:type="character" w:styleId="FootnoteReference">
    <w:name w:val="footnote reference"/>
    <w:basedOn w:val="DefaultParagraphFont"/>
    <w:uiPriority w:val="99"/>
    <w:unhideWhenUsed/>
    <w:rsid w:val="00F4690E"/>
    <w:rPr>
      <w:vertAlign w:val="superscript"/>
    </w:rPr>
  </w:style>
  <w:style w:type="character" w:styleId="Hyperlink">
    <w:name w:val="Hyperlink"/>
    <w:basedOn w:val="DefaultParagraphFont"/>
    <w:uiPriority w:val="99"/>
    <w:unhideWhenUsed/>
    <w:rsid w:val="000743D5"/>
    <w:rPr>
      <w:color w:val="0000FF"/>
      <w:u w:val="single"/>
    </w:rPr>
  </w:style>
  <w:style w:type="character" w:styleId="CommentReference">
    <w:name w:val="annotation reference"/>
    <w:basedOn w:val="DefaultParagraphFont"/>
    <w:uiPriority w:val="99"/>
    <w:semiHidden/>
    <w:unhideWhenUsed/>
    <w:rsid w:val="000518E5"/>
    <w:rPr>
      <w:sz w:val="16"/>
      <w:szCs w:val="16"/>
    </w:rPr>
  </w:style>
  <w:style w:type="paragraph" w:styleId="CommentText">
    <w:name w:val="annotation text"/>
    <w:basedOn w:val="Normal"/>
    <w:link w:val="CommentTextChar"/>
    <w:uiPriority w:val="99"/>
    <w:semiHidden/>
    <w:unhideWhenUsed/>
    <w:rsid w:val="000518E5"/>
    <w:rPr>
      <w:sz w:val="20"/>
      <w:szCs w:val="20"/>
    </w:rPr>
  </w:style>
  <w:style w:type="character" w:customStyle="1" w:styleId="CommentTextChar">
    <w:name w:val="Comment Text Char"/>
    <w:basedOn w:val="DefaultParagraphFont"/>
    <w:link w:val="CommentText"/>
    <w:uiPriority w:val="99"/>
    <w:semiHidden/>
    <w:rsid w:val="000518E5"/>
    <w:rPr>
      <w:rFonts w:ascii="Gill Sans MT" w:hAnsi="Gill Sans MT"/>
      <w:sz w:val="20"/>
      <w:szCs w:val="20"/>
    </w:rPr>
  </w:style>
  <w:style w:type="paragraph" w:styleId="CommentSubject">
    <w:name w:val="annotation subject"/>
    <w:basedOn w:val="CommentText"/>
    <w:next w:val="CommentText"/>
    <w:link w:val="CommentSubjectChar"/>
    <w:uiPriority w:val="99"/>
    <w:semiHidden/>
    <w:unhideWhenUsed/>
    <w:rsid w:val="000518E5"/>
    <w:rPr>
      <w:b/>
      <w:bCs/>
    </w:rPr>
  </w:style>
  <w:style w:type="character" w:customStyle="1" w:styleId="CommentSubjectChar">
    <w:name w:val="Comment Subject Char"/>
    <w:basedOn w:val="CommentTextChar"/>
    <w:link w:val="CommentSubject"/>
    <w:uiPriority w:val="99"/>
    <w:semiHidden/>
    <w:rsid w:val="000518E5"/>
    <w:rPr>
      <w:rFonts w:ascii="Gill Sans MT" w:hAnsi="Gill Sans MT"/>
      <w:b/>
      <w:bCs/>
      <w:sz w:val="20"/>
      <w:szCs w:val="20"/>
    </w:rPr>
  </w:style>
  <w:style w:type="paragraph" w:styleId="BalloonText">
    <w:name w:val="Balloon Text"/>
    <w:basedOn w:val="Normal"/>
    <w:link w:val="BalloonTextChar"/>
    <w:uiPriority w:val="99"/>
    <w:semiHidden/>
    <w:unhideWhenUsed/>
    <w:rsid w:val="000518E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518E5"/>
    <w:rPr>
      <w:rFonts w:ascii="Times New Roman" w:hAnsi="Times New Roman" w:cs="Times New Roman"/>
      <w:sz w:val="18"/>
      <w:szCs w:val="18"/>
    </w:rPr>
  </w:style>
  <w:style w:type="paragraph" w:styleId="Footer">
    <w:name w:val="footer"/>
    <w:basedOn w:val="Normal"/>
    <w:link w:val="FooterChar"/>
    <w:uiPriority w:val="99"/>
    <w:unhideWhenUsed/>
    <w:rsid w:val="00732322"/>
    <w:pPr>
      <w:tabs>
        <w:tab w:val="center" w:pos="4513"/>
        <w:tab w:val="right" w:pos="9026"/>
      </w:tabs>
    </w:pPr>
  </w:style>
  <w:style w:type="character" w:customStyle="1" w:styleId="FooterChar">
    <w:name w:val="Footer Char"/>
    <w:basedOn w:val="DefaultParagraphFont"/>
    <w:link w:val="Footer"/>
    <w:uiPriority w:val="99"/>
    <w:rsid w:val="00732322"/>
    <w:rPr>
      <w:rFonts w:ascii="Gill Sans MT" w:hAnsi="Gill Sans MT"/>
    </w:rPr>
  </w:style>
  <w:style w:type="character" w:styleId="PageNumber">
    <w:name w:val="page number"/>
    <w:basedOn w:val="DefaultParagraphFont"/>
    <w:uiPriority w:val="99"/>
    <w:semiHidden/>
    <w:unhideWhenUsed/>
    <w:rsid w:val="00732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6296">
      <w:bodyDiv w:val="1"/>
      <w:marLeft w:val="0"/>
      <w:marRight w:val="0"/>
      <w:marTop w:val="0"/>
      <w:marBottom w:val="0"/>
      <w:divBdr>
        <w:top w:val="none" w:sz="0" w:space="0" w:color="auto"/>
        <w:left w:val="none" w:sz="0" w:space="0" w:color="auto"/>
        <w:bottom w:val="none" w:sz="0" w:space="0" w:color="auto"/>
        <w:right w:val="none" w:sz="0" w:space="0" w:color="auto"/>
      </w:divBdr>
    </w:div>
    <w:div w:id="225721230">
      <w:bodyDiv w:val="1"/>
      <w:marLeft w:val="0"/>
      <w:marRight w:val="0"/>
      <w:marTop w:val="0"/>
      <w:marBottom w:val="0"/>
      <w:divBdr>
        <w:top w:val="none" w:sz="0" w:space="0" w:color="auto"/>
        <w:left w:val="none" w:sz="0" w:space="0" w:color="auto"/>
        <w:bottom w:val="none" w:sz="0" w:space="0" w:color="auto"/>
        <w:right w:val="none" w:sz="0" w:space="0" w:color="auto"/>
      </w:divBdr>
    </w:div>
    <w:div w:id="444228857">
      <w:bodyDiv w:val="1"/>
      <w:marLeft w:val="0"/>
      <w:marRight w:val="0"/>
      <w:marTop w:val="0"/>
      <w:marBottom w:val="0"/>
      <w:divBdr>
        <w:top w:val="none" w:sz="0" w:space="0" w:color="auto"/>
        <w:left w:val="none" w:sz="0" w:space="0" w:color="auto"/>
        <w:bottom w:val="none" w:sz="0" w:space="0" w:color="auto"/>
        <w:right w:val="none" w:sz="0" w:space="0" w:color="auto"/>
      </w:divBdr>
    </w:div>
    <w:div w:id="743601694">
      <w:bodyDiv w:val="1"/>
      <w:marLeft w:val="0"/>
      <w:marRight w:val="0"/>
      <w:marTop w:val="0"/>
      <w:marBottom w:val="0"/>
      <w:divBdr>
        <w:top w:val="none" w:sz="0" w:space="0" w:color="auto"/>
        <w:left w:val="none" w:sz="0" w:space="0" w:color="auto"/>
        <w:bottom w:val="none" w:sz="0" w:space="0" w:color="auto"/>
        <w:right w:val="none" w:sz="0" w:space="0" w:color="auto"/>
      </w:divBdr>
    </w:div>
    <w:div w:id="813107711">
      <w:bodyDiv w:val="1"/>
      <w:marLeft w:val="0"/>
      <w:marRight w:val="0"/>
      <w:marTop w:val="0"/>
      <w:marBottom w:val="0"/>
      <w:divBdr>
        <w:top w:val="none" w:sz="0" w:space="0" w:color="auto"/>
        <w:left w:val="none" w:sz="0" w:space="0" w:color="auto"/>
        <w:bottom w:val="none" w:sz="0" w:space="0" w:color="auto"/>
        <w:right w:val="none" w:sz="0" w:space="0" w:color="auto"/>
      </w:divBdr>
    </w:div>
    <w:div w:id="955141647">
      <w:bodyDiv w:val="1"/>
      <w:marLeft w:val="0"/>
      <w:marRight w:val="0"/>
      <w:marTop w:val="0"/>
      <w:marBottom w:val="0"/>
      <w:divBdr>
        <w:top w:val="none" w:sz="0" w:space="0" w:color="auto"/>
        <w:left w:val="none" w:sz="0" w:space="0" w:color="auto"/>
        <w:bottom w:val="none" w:sz="0" w:space="0" w:color="auto"/>
        <w:right w:val="none" w:sz="0" w:space="0" w:color="auto"/>
      </w:divBdr>
    </w:div>
    <w:div w:id="1043096820">
      <w:bodyDiv w:val="1"/>
      <w:marLeft w:val="0"/>
      <w:marRight w:val="0"/>
      <w:marTop w:val="0"/>
      <w:marBottom w:val="0"/>
      <w:divBdr>
        <w:top w:val="none" w:sz="0" w:space="0" w:color="auto"/>
        <w:left w:val="none" w:sz="0" w:space="0" w:color="auto"/>
        <w:bottom w:val="none" w:sz="0" w:space="0" w:color="auto"/>
        <w:right w:val="none" w:sz="0" w:space="0" w:color="auto"/>
      </w:divBdr>
    </w:div>
    <w:div w:id="1823229111">
      <w:bodyDiv w:val="1"/>
      <w:marLeft w:val="0"/>
      <w:marRight w:val="0"/>
      <w:marTop w:val="0"/>
      <w:marBottom w:val="0"/>
      <w:divBdr>
        <w:top w:val="none" w:sz="0" w:space="0" w:color="auto"/>
        <w:left w:val="none" w:sz="0" w:space="0" w:color="auto"/>
        <w:bottom w:val="none" w:sz="0" w:space="0" w:color="auto"/>
        <w:right w:val="none" w:sz="0" w:space="0" w:color="auto"/>
      </w:divBdr>
    </w:div>
    <w:div w:id="1931884888">
      <w:bodyDiv w:val="1"/>
      <w:marLeft w:val="0"/>
      <w:marRight w:val="0"/>
      <w:marTop w:val="0"/>
      <w:marBottom w:val="0"/>
      <w:divBdr>
        <w:top w:val="none" w:sz="0" w:space="0" w:color="auto"/>
        <w:left w:val="none" w:sz="0" w:space="0" w:color="auto"/>
        <w:bottom w:val="none" w:sz="0" w:space="0" w:color="auto"/>
        <w:right w:val="none" w:sz="0" w:space="0" w:color="auto"/>
      </w:divBdr>
    </w:div>
    <w:div w:id="1999990620">
      <w:bodyDiv w:val="1"/>
      <w:marLeft w:val="0"/>
      <w:marRight w:val="0"/>
      <w:marTop w:val="0"/>
      <w:marBottom w:val="0"/>
      <w:divBdr>
        <w:top w:val="none" w:sz="0" w:space="0" w:color="auto"/>
        <w:left w:val="none" w:sz="0" w:space="0" w:color="auto"/>
        <w:bottom w:val="none" w:sz="0" w:space="0" w:color="auto"/>
        <w:right w:val="none" w:sz="0" w:space="0" w:color="auto"/>
      </w:divBdr>
    </w:div>
    <w:div w:id="2074769693">
      <w:bodyDiv w:val="1"/>
      <w:marLeft w:val="0"/>
      <w:marRight w:val="0"/>
      <w:marTop w:val="0"/>
      <w:marBottom w:val="0"/>
      <w:divBdr>
        <w:top w:val="none" w:sz="0" w:space="0" w:color="auto"/>
        <w:left w:val="none" w:sz="0" w:space="0" w:color="auto"/>
        <w:bottom w:val="none" w:sz="0" w:space="0" w:color="auto"/>
        <w:right w:val="none" w:sz="0" w:space="0" w:color="auto"/>
      </w:divBdr>
    </w:div>
    <w:div w:id="2141461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thebritishacademy.ac.uk/sites/default/files/Postdoctoral%20_Fellows_2017_cohort.pdf" TargetMode="External"/><Relationship Id="rId1" Type="http://schemas.openxmlformats.org/officeDocument/2006/relationships/hyperlink" Target="https://reviews.history.ac.uk/review/23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25666F-15EC-7D41-88A6-2BF76909D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4588</Words>
  <Characters>26156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Lincoln</Company>
  <LinksUpToDate>false</LinksUpToDate>
  <CharactersWithSpaces>30683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Greenhalgh</dc:creator>
  <cp:keywords/>
  <dc:description/>
  <cp:lastModifiedBy>James Greenhalgh</cp:lastModifiedBy>
  <cp:revision>2</cp:revision>
  <dcterms:created xsi:type="dcterms:W3CDTF">2020-04-21T10:23:00Z</dcterms:created>
  <dcterms:modified xsi:type="dcterms:W3CDTF">2020-04-21T10:23:00Z</dcterms:modified>
</cp:coreProperties>
</file>