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2557A" w:rsidRPr="00D2557A" w:rsidRDefault="00D2557A">
      <w:pPr>
        <w:rPr>
          <w:rFonts w:cstheme="minorHAnsi"/>
          <w:sz w:val="24"/>
          <w:szCs w:val="24"/>
        </w:rPr>
      </w:pPr>
      <w:bookmarkStart w:id="0" w:name="_GoBack"/>
      <w:r w:rsidRPr="00D2557A">
        <w:rPr>
          <w:rFonts w:cstheme="minorHAnsi"/>
          <w:b/>
          <w:bCs/>
          <w:color w:val="111111"/>
          <w:sz w:val="24"/>
          <w:szCs w:val="24"/>
          <w:shd w:val="clear" w:color="auto" w:fill="FFFFFF"/>
        </w:rPr>
        <w:t>An evaluation of the uneasy transition towards social enterprise UK</w:t>
      </w:r>
    </w:p>
    <w:bookmarkEnd w:id="0"/>
    <w:p w:rsidR="00D2557A" w:rsidRPr="00D2557A" w:rsidRDefault="00D2557A" w:rsidP="00D2557A">
      <w:pPr>
        <w:rPr>
          <w:rFonts w:cstheme="minorHAnsi"/>
          <w:sz w:val="24"/>
          <w:szCs w:val="24"/>
          <w:shd w:val="clear" w:color="auto" w:fill="FFFFFF"/>
        </w:rPr>
      </w:pPr>
      <w:r w:rsidRPr="00D2557A">
        <w:rPr>
          <w:rFonts w:cstheme="minorHAnsi"/>
          <w:sz w:val="24"/>
          <w:szCs w:val="24"/>
          <w:shd w:val="clear" w:color="auto" w:fill="FFFFFF"/>
        </w:rPr>
        <w:t xml:space="preserve">Madichie, N. and Read, M. (2008). </w:t>
      </w:r>
    </w:p>
    <w:p w:rsidR="00D2557A" w:rsidRPr="00D2557A" w:rsidRDefault="00D2557A">
      <w:pPr>
        <w:rPr>
          <w:rFonts w:cstheme="minorHAnsi"/>
          <w:sz w:val="24"/>
          <w:szCs w:val="24"/>
          <w:shd w:val="clear" w:color="auto" w:fill="FFFFFF"/>
        </w:rPr>
      </w:pPr>
      <w:r w:rsidRPr="00D2557A">
        <w:rPr>
          <w:rFonts w:cstheme="minorHAnsi"/>
          <w:sz w:val="24"/>
          <w:szCs w:val="24"/>
          <w:shd w:val="clear" w:color="auto" w:fill="FFFFFF"/>
        </w:rPr>
        <w:t>International Journal Management and Enterprise Development, Vol. 5, No. 4, 2008, p. 393-409.</w:t>
      </w:r>
    </w:p>
    <w:p w:rsidR="00D2557A" w:rsidRDefault="00D2557A">
      <w:pPr>
        <w:rPr>
          <w:rFonts w:cstheme="minorHAnsi"/>
          <w:sz w:val="24"/>
          <w:szCs w:val="24"/>
        </w:rPr>
      </w:pPr>
      <w:r w:rsidRPr="00D2557A">
        <w:rPr>
          <w:rFonts w:cstheme="minorHAnsi"/>
          <w:sz w:val="24"/>
          <w:szCs w:val="24"/>
        </w:rPr>
        <w:t xml:space="preserve">Madichie,  N.O.  and    Read,  M.  (2008)  ‘An  evaluation  of  the  uneasy  transition  towards  social  Enterprise  UK’,  Int.  J.  Management  and  Enterprise  Development,  Vol.  5,    No. 4, pp.393–409. Available from: </w:t>
      </w:r>
      <w:hyperlink r:id="rId5" w:history="1">
        <w:r w:rsidRPr="00D2557A">
          <w:rPr>
            <w:rStyle w:val="Hyperlink"/>
            <w:rFonts w:cstheme="minorHAnsi"/>
            <w:sz w:val="24"/>
            <w:szCs w:val="24"/>
          </w:rPr>
          <w:t>https://www.researchgate.net/publication/247833487_An_evaluation_of_the_uneasy_transition_towards_social_enterprise_UK</w:t>
        </w:r>
      </w:hyperlink>
      <w:r w:rsidRPr="00D2557A">
        <w:rPr>
          <w:rFonts w:cstheme="minorHAnsi"/>
          <w:sz w:val="24"/>
          <w:szCs w:val="24"/>
        </w:rPr>
        <w:t xml:space="preserve"> [accessed May 10 2020].</w:t>
      </w:r>
    </w:p>
    <w:p w:rsidR="00F363E1" w:rsidRPr="00F363E1" w:rsidRDefault="00F363E1" w:rsidP="00F363E1">
      <w:pPr>
        <w:spacing w:before="100" w:beforeAutospacing="1" w:after="120" w:line="240" w:lineRule="auto"/>
        <w:rPr>
          <w:rFonts w:ascii="&amp;quot" w:eastAsia="Times New Roman" w:hAnsi="&amp;quot" w:cs="Times New Roman"/>
          <w:sz w:val="24"/>
          <w:szCs w:val="24"/>
          <w:lang w:eastAsia="en-GB"/>
        </w:rPr>
      </w:pPr>
      <w:r>
        <w:rPr>
          <w:rFonts w:ascii="&amp;quot" w:eastAsia="Times New Roman" w:hAnsi="&amp;quot" w:cs="Times New Roman"/>
          <w:sz w:val="24"/>
          <w:szCs w:val="24"/>
          <w:lang w:eastAsia="en-GB"/>
        </w:rPr>
        <w:t>DOI:</w:t>
      </w:r>
      <w:hyperlink r:id="rId6" w:history="1">
        <w:r w:rsidRPr="00F363E1">
          <w:rPr>
            <w:rFonts w:ascii="inherit" w:eastAsia="Times New Roman" w:hAnsi="inherit" w:cs="Times New Roman"/>
            <w:color w:val="0000FF"/>
            <w:sz w:val="24"/>
            <w:szCs w:val="24"/>
            <w:u w:val="single"/>
            <w:bdr w:val="none" w:sz="0" w:space="0" w:color="auto" w:frame="1"/>
            <w:lang w:eastAsia="en-GB"/>
          </w:rPr>
          <w:t>10.1504/IJMED.2008.018758</w:t>
        </w:r>
      </w:hyperlink>
    </w:p>
    <w:p w:rsidR="00F363E1" w:rsidRPr="00D2557A" w:rsidRDefault="00F363E1">
      <w:pPr>
        <w:rPr>
          <w:rFonts w:cstheme="minorHAnsi"/>
          <w:sz w:val="24"/>
          <w:szCs w:val="24"/>
        </w:rPr>
      </w:pPr>
    </w:p>
    <w:p w:rsidR="00D2557A" w:rsidRPr="00D2557A" w:rsidRDefault="00D2557A">
      <w:pPr>
        <w:rPr>
          <w:rFonts w:cstheme="minorHAnsi"/>
          <w:b/>
          <w:sz w:val="24"/>
          <w:szCs w:val="24"/>
        </w:rPr>
      </w:pPr>
      <w:r w:rsidRPr="00D2557A">
        <w:rPr>
          <w:rFonts w:cstheme="minorHAnsi"/>
          <w:b/>
          <w:sz w:val="24"/>
          <w:szCs w:val="24"/>
        </w:rPr>
        <w:t>Abstract</w:t>
      </w:r>
    </w:p>
    <w:p w:rsidR="00D2557A" w:rsidRPr="00D2557A" w:rsidRDefault="00D2557A">
      <w:pPr>
        <w:rPr>
          <w:rFonts w:cstheme="minorHAnsi"/>
          <w:color w:val="111111"/>
          <w:sz w:val="24"/>
          <w:szCs w:val="24"/>
          <w:shd w:val="clear" w:color="auto" w:fill="FFFFFF"/>
        </w:rPr>
      </w:pPr>
      <w:r w:rsidRPr="00D2557A">
        <w:rPr>
          <w:rFonts w:cstheme="minorHAnsi"/>
          <w:color w:val="111111"/>
          <w:sz w:val="24"/>
          <w:szCs w:val="24"/>
          <w:shd w:val="clear" w:color="auto" w:fill="FFFFFF"/>
        </w:rPr>
        <w:t>Owing to ebbing grant funding in the UK in recent years the drive for transforming Black and Minority Ethnic (BME) Voluntary and Community Sector Organisations (VCSOs) from grant-seeking to Socially Enterprising (SE) activity has gathered momentum. However, engaging in entrepreneurial activities requires scaling hurdles in order for firms to successfully break out of the entrenched 'dependability' culture. In this paper, we argue that 'sustainability' can only be achieved incrementally from 'dependability' through 'self-sufficiency'. In doing so, we highlight the uneasy entrepreneurial metamorphosis based on a two-tier survey of BMEs in the Yorkshire and Humber Region of England.</w:t>
      </w:r>
    </w:p>
    <w:p w:rsidR="00D2557A" w:rsidRPr="00D2557A" w:rsidRDefault="00D2557A">
      <w:pPr>
        <w:rPr>
          <w:rFonts w:cstheme="minorHAnsi"/>
          <w:b/>
          <w:sz w:val="24"/>
          <w:szCs w:val="24"/>
          <w:shd w:val="clear" w:color="auto" w:fill="FFFFFF"/>
        </w:rPr>
      </w:pPr>
      <w:r w:rsidRPr="00D2557A">
        <w:rPr>
          <w:rFonts w:cstheme="minorHAnsi"/>
          <w:b/>
          <w:sz w:val="24"/>
          <w:szCs w:val="24"/>
          <w:shd w:val="clear" w:color="auto" w:fill="FFFFFF"/>
        </w:rPr>
        <w:t>Keywords:</w:t>
      </w:r>
    </w:p>
    <w:p w:rsidR="00F363E1" w:rsidRPr="00F363E1" w:rsidRDefault="00D2557A" w:rsidP="00F363E1">
      <w:pPr>
        <w:rPr>
          <w:rFonts w:cstheme="minorHAnsi"/>
          <w:b/>
          <w:sz w:val="24"/>
          <w:szCs w:val="24"/>
          <w:shd w:val="clear" w:color="auto" w:fill="FFFFFF"/>
        </w:rPr>
      </w:pPr>
      <w:r w:rsidRPr="00D2557A">
        <w:rPr>
          <w:rFonts w:cstheme="minorHAnsi"/>
          <w:sz w:val="24"/>
          <w:szCs w:val="24"/>
        </w:rPr>
        <w:t xml:space="preserve">Black   and   Minority   Ethnic;   BME;   capacity   building;   Social   Enterprise; SE;  Voluntary  and  Community  Sector  Organisations;  VCSOs;  Yorkshire and Humber Region.  </w:t>
      </w:r>
      <w:r w:rsidRPr="00D2557A">
        <w:rPr>
          <w:rFonts w:cstheme="minorHAnsi"/>
          <w:sz w:val="24"/>
          <w:szCs w:val="24"/>
        </w:rPr>
        <w:br/>
      </w:r>
      <w:r w:rsidR="00F363E1">
        <w:rPr>
          <w:rFonts w:cstheme="minorHAnsi"/>
          <w:sz w:val="24"/>
          <w:szCs w:val="24"/>
          <w:shd w:val="clear" w:color="auto" w:fill="FFFFFF"/>
        </w:rPr>
        <w:br/>
      </w:r>
      <w:r w:rsidR="00F363E1" w:rsidRPr="00F363E1">
        <w:rPr>
          <w:rFonts w:cstheme="minorHAnsi"/>
          <w:b/>
          <w:sz w:val="24"/>
          <w:szCs w:val="24"/>
          <w:shd w:val="clear" w:color="auto" w:fill="FFFFFF"/>
        </w:rPr>
        <w:t>Introduction</w:t>
      </w:r>
    </w:p>
    <w:p w:rsidR="00F363E1" w:rsidRPr="00F363E1" w:rsidRDefault="00F363E1" w:rsidP="00F363E1">
      <w:pPr>
        <w:rPr>
          <w:rFonts w:cstheme="minorHAnsi"/>
          <w:sz w:val="24"/>
          <w:szCs w:val="24"/>
          <w:shd w:val="clear" w:color="auto" w:fill="FFFFFF"/>
        </w:rPr>
      </w:pPr>
      <w:r w:rsidRPr="00F363E1">
        <w:rPr>
          <w:rFonts w:ascii="Times New Roman" w:eastAsia="Times New Roman" w:hAnsi="Times New Roman" w:cs="Times New Roman"/>
          <w:sz w:val="23"/>
          <w:szCs w:val="23"/>
          <w:lang w:eastAsia="en-GB"/>
        </w:rPr>
        <w:t xml:space="preserve">The  transition  from  ‘grant  dependency’  to  ‘sustainability’  is,  however,  fraught  with  challenges  for  many  BME  VCSOs.  But  a  number  of  service  providers  claim  that  the  general  VCSOs  have  been  engaged  in  some  form  of  income  generation  for  a  while.  Nevertheless,  these  organisations  seem  neither  to  have  realised  that  such  activity  could  play  a  major  role  in  their  transformation  into  SEs  nor  that  many  SEs  have  actually  emerged  from  an  initial  VCSO  status. Yet  the  Government  is  one  of  the  key  drivers  in  this transformation, as it remains ‘keen to expand the social economy by providing more support  to  the  Voluntary  and  Community  Sector  Organisations  (VCSOs)’  in  the  belief  that this can promote radical new ways to boost the economy of the UK and the society at large through the SE approach (Yorkshire Forward, 2002). The  Government  nonetheless  aims  to  combine  the  skills  and  experience  of  the  VCSOs with business acumen and entrepreneurial behaviour. Indeed the Social Economy (2002) reported that the UK Government “wants the sector to increase its ability to trade and particularly to win public service contracts”. Moreover, the Cross Cutting Review’s (CCR)  assessment  of  the  role  of  the  VCS  in  service  delivery  in  2002  suggested  that    “SEs  can  demonstrate  entrepreneurial  leadership;  act  as  intermediate  </w:t>
      </w:r>
      <w:r w:rsidRPr="00F363E1">
        <w:rPr>
          <w:rFonts w:ascii="Times New Roman" w:eastAsia="Times New Roman" w:hAnsi="Times New Roman" w:cs="Times New Roman"/>
          <w:sz w:val="23"/>
          <w:szCs w:val="23"/>
          <w:lang w:eastAsia="en-GB"/>
        </w:rPr>
        <w:lastRenderedPageBreak/>
        <w:t xml:space="preserve">organisations  delivering  a  wide  range  of  services  under  contract;  create  training  and  employment  opportunities;  build  social  capital  and  lever  in  additional  finances”  (see  HM  Treasury,  2002).  Hence,  the  purpose  of  this  paper  –  based  on  a  survey  conducted  with  the  BME  sector in the Yorkshire and Humber Region between September 2004 and April 2005. </w:t>
      </w:r>
      <w:r w:rsidRPr="00F363E1">
        <w:rPr>
          <w:rFonts w:ascii="Times New Roman" w:eastAsia="Times New Roman" w:hAnsi="Times New Roman" w:cs="Times New Roman"/>
          <w:sz w:val="25"/>
          <w:szCs w:val="25"/>
          <w:lang w:eastAsia="en-GB"/>
        </w:rPr>
        <w:t>2</w:t>
      </w:r>
      <w:r w:rsidRPr="00F363E1">
        <w:rPr>
          <w:rFonts w:ascii="Helvetica" w:eastAsia="Times New Roman" w:hAnsi="Helvetica" w:cs="Times New Roman"/>
          <w:sz w:val="25"/>
          <w:szCs w:val="25"/>
          <w:lang w:eastAsia="en-GB"/>
        </w:rPr>
        <w:t xml:space="preserve"> </w:t>
      </w:r>
      <w:r w:rsidRPr="00F363E1">
        <w:rPr>
          <w:rFonts w:ascii="Times New Roman" w:eastAsia="Times New Roman" w:hAnsi="Times New Roman" w:cs="Times New Roman"/>
          <w:sz w:val="25"/>
          <w:szCs w:val="25"/>
          <w:lang w:eastAsia="en-GB"/>
        </w:rPr>
        <w:t xml:space="preserve">Purpose </w:t>
      </w:r>
      <w:r w:rsidRPr="00F363E1">
        <w:rPr>
          <w:rFonts w:ascii="Times New Roman" w:eastAsia="Times New Roman" w:hAnsi="Times New Roman" w:cs="Times New Roman"/>
          <w:sz w:val="23"/>
          <w:szCs w:val="23"/>
          <w:lang w:eastAsia="en-GB"/>
        </w:rPr>
        <w:t xml:space="preserve">Many  factors  have  contributed  to  the  success  and/  or  moderating  influences  to  the  transformation  of  VCSOs  into  socially  entrepreneurial  activities.  In  his  February  2005  workshop  in  Leeds  entitled  the  promise  and  the  perils,  (which  was  aimed  at  the  VCS),  Boschee  clearly  pointed  out  that  –  ‘it  is  not  that  easy  to  transform  the  voluntary    and  community  organisations  to  SE’. In  a  follow-up  interview  with  him,  there  was  a  further  suggestion  that  it  was “...sometimes  easier  to  start  afresh  than  to  transform  a    VCS  organisation  into  SE”.  This  is  perhaps  due  to  the  existence  of  certain  ‘behind    the  scenes’  processing  (i.e.  black-box)  between  the  VCSOs  and  SEs. We  therefore,  highlight the constituents of this supposed ‘black box’ in the VCS to SE transformation process – through a rigorous assessment of the drivers and barriers in the transformation exercise. Specifically we: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examine the possibility of transforming the BME VCSOs into SE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analyse the driving forces and barriers to the transformation process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evaluate the capacity building provisions available to BME VCSOs intent on becoming SEs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suggest more effective ways of providing capacity building support mechanisms with relevant policy implications for practitioners in and around the sector. Despite the universality of SE, we concentrate on the BME VCS sector to help leverage the  services  accessed  by  the  generic  VCS  with  that  of  the  former.  In  order  to  progress,  however, we deem it necessary to refresh our insights on the meaning of VCSOs on the one hand and SEs on the other hand. </w:t>
      </w:r>
    </w:p>
    <w:p w:rsidR="00F363E1" w:rsidRDefault="00F363E1" w:rsidP="00F363E1">
      <w:pPr>
        <w:spacing w:after="0" w:line="240" w:lineRule="auto"/>
        <w:rPr>
          <w:rFonts w:ascii="Times New Roman" w:eastAsia="Times New Roman" w:hAnsi="Times New Roman" w:cs="Times New Roman"/>
          <w:sz w:val="24"/>
          <w:szCs w:val="24"/>
          <w:lang w:eastAsia="en-GB"/>
        </w:rPr>
      </w:pPr>
    </w:p>
    <w:p w:rsidR="00F363E1" w:rsidRPr="00F363E1" w:rsidRDefault="00F363E1" w:rsidP="00F363E1">
      <w:pPr>
        <w:spacing w:after="0" w:line="240" w:lineRule="auto"/>
        <w:rPr>
          <w:rFonts w:ascii="Times New Roman" w:eastAsia="Times New Roman" w:hAnsi="Times New Roman" w:cs="Times New Roman"/>
          <w:sz w:val="24"/>
          <w:szCs w:val="24"/>
          <w:lang w:eastAsia="en-GB"/>
        </w:rPr>
      </w:pPr>
      <w:r w:rsidRPr="00F363E1">
        <w:rPr>
          <w:rFonts w:ascii="Times New Roman" w:eastAsia="Times New Roman" w:hAnsi="Times New Roman" w:cs="Times New Roman"/>
          <w:sz w:val="25"/>
          <w:szCs w:val="25"/>
          <w:lang w:eastAsia="en-GB"/>
        </w:rPr>
        <w:t>Voluntary and community sector organisations</w:t>
      </w:r>
      <w:r w:rsidRPr="00F363E1">
        <w:rPr>
          <w:rFonts w:ascii="Courier New" w:eastAsia="Times New Roman" w:hAnsi="Courier New" w:cs="Courier New"/>
          <w:sz w:val="25"/>
          <w:szCs w:val="25"/>
          <w:lang w:eastAsia="en-GB"/>
        </w:rPr>
        <w:t xml:space="preserve"> </w:t>
      </w:r>
      <w:r w:rsidRPr="00F363E1">
        <w:rPr>
          <w:rFonts w:ascii="Times New Roman" w:eastAsia="Times New Roman" w:hAnsi="Times New Roman" w:cs="Times New Roman"/>
          <w:sz w:val="23"/>
          <w:szCs w:val="23"/>
          <w:lang w:eastAsia="en-GB"/>
        </w:rPr>
        <w:t>The VCSO is a complex sector which has been described in numerous parlance ranging from  not-for-profit;  through  –  civil  society;  third  sector;  charity;  community  sector;    to  Non-Government  Organisation  (NGO).  For  the  purpose  of  this  paper,  however,    we subscribe to the ‘charity’ and ‘community sector’ definitions. It has been argued that the massive number of organisations that associate with the VCS, and the complexity of purpose and causes that organisations represent, make it impossible to clearly define the sector’  (see  Salamon  and  Anheier,  1997).  Another  issue  in  defining  the  sector  is  that  although  many  feel  that  the  voluntary  organisations  are  distinctly  different  from  private  and  public  ones,  the  boundaries  are  not  as  clear-cut,  as  ‘they  fit  more  somewhere  on  a  continuum  rather  than  in  a  set  of  discrete  boxes’  (Volresource,  2004).  The  ‘general  charities’  definition  is,  however,  the  one  most  commonly  accepted  where  VCS  is  identifiable in two groups (NCVO, 2004): 1</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charities 2</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non-profit making organisations. The UK Voluntary Sector Almanac (NCVO, 2004) defines a charity as ‘an organisation independent  of  government  or  business  that  is  non-profit  making  and  provides  a  wider  public  benefit  to  the  community’.  However,  the  term  ‘charity’  has  held  negative  connotation  in  the  past  because  of  the  association  with  deference,  that  is  why  the  terms  ‘voluntary’  sector  or  ‘voluntary  and  community’  sector  tends  to  be  preferred.  There  are  many other terminologies associated with the VCS depending on the purpose they are to be used, which in their own right have specific definitions too. It is also useful to note for the  purposes  of  this  paper  that  not  all  VCSOs  including  those  from  the  BME  sector  are  registered  as  charities,  despite  their  need  to  function  as  such  in  order  to  be  eligible  for  grant  funding  from  the  Government  coffers  and/  or  the  Lottery  Fund.  Definitional  problems  such  as  these  are,  however,  not  the  sole  preserve  of  VCSOs  as  even  their  income generating counterparts (i.e. SEs) suffer the same fate, perhaps to a much lesser extent but nonetheless problematic – as our next discussion shows. </w:t>
      </w:r>
      <w:r w:rsidRPr="00F363E1">
        <w:rPr>
          <w:rFonts w:ascii="Times New Roman" w:eastAsia="Times New Roman" w:hAnsi="Times New Roman" w:cs="Times New Roman"/>
          <w:sz w:val="25"/>
          <w:szCs w:val="25"/>
          <w:lang w:eastAsia="en-GB"/>
        </w:rPr>
        <w:t>2.2    Social    enterprises</w:t>
      </w:r>
      <w:r w:rsidRPr="00F363E1">
        <w:rPr>
          <w:rFonts w:ascii="Courier New" w:eastAsia="Times New Roman" w:hAnsi="Courier New" w:cs="Courier New"/>
          <w:sz w:val="25"/>
          <w:szCs w:val="25"/>
          <w:lang w:eastAsia="en-GB"/>
        </w:rPr>
        <w:t xml:space="preserve"> </w:t>
      </w:r>
      <w:r w:rsidRPr="00F363E1">
        <w:rPr>
          <w:rFonts w:ascii="Times New Roman" w:eastAsia="Times New Roman" w:hAnsi="Times New Roman" w:cs="Times New Roman"/>
          <w:sz w:val="23"/>
          <w:szCs w:val="23"/>
          <w:lang w:eastAsia="en-GB"/>
        </w:rPr>
        <w:t>The  Mapping  SE  Working  Group  of  the  Department  of  Trade  and  Industry  (DTI)  reported  that  existing  research  on  SE  around  the  UK  was  difficult  to  compare  owing  to  the variety and often-</w:t>
      </w:r>
      <w:r w:rsidRPr="00F363E1">
        <w:rPr>
          <w:rFonts w:ascii="Times New Roman" w:eastAsia="Times New Roman" w:hAnsi="Times New Roman" w:cs="Times New Roman"/>
          <w:sz w:val="23"/>
          <w:szCs w:val="23"/>
          <w:lang w:eastAsia="en-GB"/>
        </w:rPr>
        <w:lastRenderedPageBreak/>
        <w:t>conflicting definitions of SEs in use. Westall (2001), for example, claimed  that  “the  word  SE  first  appeared  in  a  government  document  in  1999  published  by  Her  Majesty  Treasury  for  the  Social  Exclusion  Unit’s  Strategy  for  Neighbourhood  Renewal” (cited in Westall, 2001, p.25). From 2002 onwards the concept of SE started to gain  popularity  and  the  momentum  has  continued  to  date.  Westall  (2002),  however,  emphasised  that  “there  is  a  great  deal  of  goodwill  from  ministers  and  civil  servants  in  recognising  the  potential  added  value  of  SE”.  The  government’s  recognition  of  this  added value has played a key role in the widespread popularity of SE but the meaning of the concept did not seem to have been universally accepted and to many it is still a new concept.  Westall  (2002)  also  noted  that,  “one  of  the  largest  barriers  to  promoting,  supporting  and  understanding  the  SE  sector  in  the  UK  is  the  lack  of  awareness  of  how  big the sector really is; how big it might become or even th</w:t>
      </w:r>
      <w:r>
        <w:rPr>
          <w:rFonts w:ascii="Times New Roman" w:eastAsia="Times New Roman" w:hAnsi="Times New Roman" w:cs="Times New Roman"/>
          <w:sz w:val="23"/>
          <w:szCs w:val="23"/>
          <w:lang w:eastAsia="en-GB"/>
        </w:rPr>
        <w:t xml:space="preserve">e full range of organisations </w:t>
      </w:r>
      <w:r w:rsidRPr="00F363E1">
        <w:rPr>
          <w:rFonts w:ascii="Times New Roman" w:eastAsia="Times New Roman" w:hAnsi="Times New Roman" w:cs="Times New Roman"/>
          <w:sz w:val="23"/>
          <w:szCs w:val="23"/>
          <w:lang w:eastAsia="en-GB"/>
        </w:rPr>
        <w:t xml:space="preserve">that  currently  exist”  within  its  overall  framework.  She  added  that  ‘this  problem  has  grown-up  as  a  result  of  confusion  over  definitions’.  Some  of  these  definitions  are  attempted here nonetheless. On the one hand, a popular definition that is widely used by both national and local policy  makers  including  intermediaries  is  that  of  the  DTI,  which  defined  SE  as    (DTI, 2002): </w:t>
      </w:r>
      <w:r w:rsidRPr="00F363E1">
        <w:rPr>
          <w:rFonts w:ascii="Times New Roman" w:eastAsia="Times New Roman" w:hAnsi="Times New Roman" w:cs="Times New Roman"/>
          <w:sz w:val="21"/>
          <w:szCs w:val="21"/>
          <w:lang w:eastAsia="en-GB"/>
        </w:rPr>
        <w:t xml:space="preserve">A  business  with  primarily  social  objectives  whose  surpluses  are  principally  reinvested  for  that  purpose  in  the  business  or  in  the  community,  rather  than  being driven by the need to maximise profit for shareholders and owners. </w:t>
      </w:r>
      <w:r w:rsidRPr="00F363E1">
        <w:rPr>
          <w:rFonts w:ascii="Times New Roman" w:eastAsia="Times New Roman" w:hAnsi="Times New Roman" w:cs="Times New Roman"/>
          <w:sz w:val="23"/>
          <w:szCs w:val="23"/>
          <w:lang w:eastAsia="en-GB"/>
        </w:rPr>
        <w:t xml:space="preserve">Another  popular  definition,  on  the  other  hand,  is  that  of  the  SE  London  (SEL,  2002)  which viewed SEs as: </w:t>
      </w:r>
      <w:r w:rsidRPr="00F363E1">
        <w:rPr>
          <w:rFonts w:ascii="Times New Roman" w:eastAsia="Times New Roman" w:hAnsi="Times New Roman" w:cs="Times New Roman"/>
          <w:sz w:val="21"/>
          <w:szCs w:val="21"/>
          <w:lang w:eastAsia="en-GB"/>
        </w:rPr>
        <w:t xml:space="preserve">Competitive  businesses,  owned  and  trading  for  a  social  purpose.  They  seek  to  succeed as businesses by establishing a market share and making a profit. SEs combine the need to be successful businesses with social aim. They emphasise the long-term benefit for employees, consumers and the community. </w:t>
      </w:r>
      <w:r w:rsidRPr="00F363E1">
        <w:rPr>
          <w:rFonts w:ascii="Times New Roman" w:eastAsia="Times New Roman" w:hAnsi="Times New Roman" w:cs="Times New Roman"/>
          <w:sz w:val="23"/>
          <w:szCs w:val="23"/>
          <w:lang w:eastAsia="en-GB"/>
        </w:rPr>
        <w:t xml:space="preserve">In these definitions, the emphasis has been on business or trade – “the activity of selling goods  or  services  in  order  to  make  a  profit”  (Oxford  Dictionary  of  Business,  2003).  Although SE should generate profit, it is still classed as ‘not-for-profit’ (Boldero, 2004; Smallbone  et  al.,  2001;  Westall,  2001,  2002)  because  the  profit  or  surpluses  that  it  generates  are  reinvested  to  develop  its  resources  rather  than  to  be  shared  amongst  the  stakeholders.  This  has  created  great  confusion  in  the  demarcation  of  the  boundary  between a VCS and an SE. In examining SE definitions Westall (2002) also claimed that “there  is  some  consensus  around  certain  types,  such  as  community  enterprises,  social  firms or development trusts, but less so around ‘not-for-profit’ businesses, or parts of the voluntary, cooperative or mutual sectors”. On  the  other  hand,  Westall  (2002)  emphasised  that  “there  is  some  evidence  of  an  increasing   trend   for   the   general   VCS   that   wish   to   become   self-sufficient”.   The   Department  of  Trade  and  Industry  (DTI)  supports  this  argument  in  its  report,  ‘Social  Enterprise Strategy’ which claimed that (DTI, 2002, p.14): </w:t>
      </w:r>
      <w:r w:rsidRPr="00F363E1">
        <w:rPr>
          <w:rFonts w:ascii="Times New Roman" w:eastAsia="Times New Roman" w:hAnsi="Times New Roman" w:cs="Times New Roman"/>
          <w:sz w:val="21"/>
          <w:szCs w:val="21"/>
          <w:lang w:eastAsia="en-GB"/>
        </w:rPr>
        <w:t>Whilst  some  social  enterprises  start  off  as  businesses,  most  are  in  transition  from  their  beginnings  as  voluntary  sector  organisations,  dependent  largely  on  grants and volunteers and working to increase traded income. A report from the National  Council  for  Voluntary  Organisations  (NCVO)  said  that  upto  35</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of  general registered charity income is derived from trading activities. </w:t>
      </w:r>
      <w:r w:rsidRPr="00F363E1">
        <w:rPr>
          <w:rFonts w:ascii="Times New Roman" w:eastAsia="Times New Roman" w:hAnsi="Times New Roman" w:cs="Times New Roman"/>
          <w:sz w:val="23"/>
          <w:szCs w:val="23"/>
          <w:lang w:eastAsia="en-GB"/>
        </w:rPr>
        <w:t xml:space="preserve">In  terms  of  SE’s  application  to  the  VCSO  setting,  the  use  of  the  word  ‘surplus’  or  the  ‘excess  of  income  over  spending’  (The  Oxford  Dictionary,  1997)  rather  than  ‘profit’  in  the definition is still a grey area to many. ‘Profit’ to some socialist charity organisations is  against  their  ethos  and  principles  as  they  cannot  be  conducting  business  with  their  service users if they were set up to provide free services. This issue has started to fuel a debate  between  the  sector  and  the  SE  support  providers  to  the  extent  that  some  intermediaries have argued that SE is about making profit and that the VCS organisations should be aware of this at a very early stage of their transformation process. However, it seems that there exists a big gap between the sector’s grant dependency on the one hand and  self-sufficiency  on  the  other  hand.  This  clearly  brings  us  back  to  Boschee’s  three  models of the transformation of VCSOs into SEs (Boschee, 2005):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dependency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sustainability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self-sufficiency. Before attempting any reconciliation of the two broad categories (VCSOs and SEs), it is vital to first distinguish between these three models as they encompass the transformation stages of BME VCSOs to SEs. An understanding of this distinction could shed light on the  ‘black  box’  we  noted  earlier,  which  seems  to  be  the  </w:t>
      </w:r>
      <w:r w:rsidRPr="00F363E1">
        <w:rPr>
          <w:rFonts w:ascii="Times New Roman" w:eastAsia="Times New Roman" w:hAnsi="Times New Roman" w:cs="Times New Roman"/>
          <w:sz w:val="23"/>
          <w:szCs w:val="23"/>
          <w:lang w:eastAsia="en-GB"/>
        </w:rPr>
        <w:lastRenderedPageBreak/>
        <w:t xml:space="preserve">main  ‘grey  area’  and  hence,  moderating influence to the transformation process. </w:t>
      </w:r>
      <w:r w:rsidRPr="00F363E1">
        <w:rPr>
          <w:rFonts w:ascii="Times New Roman" w:eastAsia="Times New Roman" w:hAnsi="Times New Roman" w:cs="Times New Roman"/>
          <w:sz w:val="25"/>
          <w:szCs w:val="25"/>
          <w:lang w:eastAsia="en-GB"/>
        </w:rPr>
        <w:t>2.3    Can the uneasy transition be reconciled?</w:t>
      </w:r>
      <w:r w:rsidRPr="00F363E1">
        <w:rPr>
          <w:rFonts w:ascii="Courier New" w:eastAsia="Times New Roman" w:hAnsi="Courier New" w:cs="Courier New"/>
          <w:sz w:val="25"/>
          <w:szCs w:val="25"/>
          <w:lang w:eastAsia="en-GB"/>
        </w:rPr>
        <w:t xml:space="preserve"> </w:t>
      </w:r>
      <w:r w:rsidRPr="00F363E1">
        <w:rPr>
          <w:rFonts w:ascii="Times New Roman" w:eastAsia="Times New Roman" w:hAnsi="Times New Roman" w:cs="Times New Roman"/>
          <w:sz w:val="23"/>
          <w:szCs w:val="23"/>
          <w:lang w:eastAsia="en-GB"/>
        </w:rPr>
        <w:t xml:space="preserve">An  interesting  place  to  commence  this  discussion  is  to  question  whether  the  transition  from VCSO to SE is really practicable and if so where does the transformation actually begin?   The   complexities   in   solving   this   puzzle   highlight   the   difficulties   of   such   transformation.    For  example,  while  some  scholars  have  judged  SEs  from  a  ‘double  bottom  line’  position  (Boschee,  2005),  which  requires  meeting  both  the  social  and  the  financial  objectives  of  the  organisation,  other  researchers  have,  however,  claimed  a  ‘triple bottom line’ – adding ‘environment’ as the third objective (DTI, 2002). Nevertheless,  juggling  these  two  objectives  (i.e.  the  double  bottom  line)  can  make  effective  management  of  SE  more  complicated.  For  example,  how  possible  is  it  for  an  organisation to be socially responsible and financially viable at the same time? Boschee (2005)  argued  that  “trying  to  keep  balance  of  the  two  objectives  is  the  art  of  social  entrepreneurship”.   Awareness   of   this   issue   may   help   the   VCSOs   have   a   better   appreciation  of  the  problem  they  would  face  as  they  consider  transforming  to  SE.  They  have  to  understand  that  “SE  is  a  business,  which  means  it  is  engaged  in  some  form  of  trading” (Boldero, 2004). However,  trading  by  charity  organisations  is  more  complicated  than  it  seems.  According  to  Finn  (2004)  “SE’s  are  distinct  from  charities  in  that  they  explicitly  seek  ways   of   making   money   to   grow,   diversify   and   take   risks,   while   differing   from   commercial businesses in that they also judge success by their social performance”. For the VCSOs to judge success, they have to perform on the business front but at the same time remain able to maintain their social objectives. The  Charity  Commission  allows  trading  by  charities  provided  that  the  profit  is  applied  for  the  purposes  of  the  charity.  The  trading  element  is  what  makes  the  VCS  achieve  its  sustainability  by  generating  further  ‘earned  income’  required  to  reach  the    self-sufficiency  level.  Boschee  (2005)  defined  earned  income,  as  ‘a  quid  pro  quo  arrangement  in  which  there  is  a  direct  exchange  of  product  or  services  for  monetary  value’.  Examples  of  earned  income  ranges  from  fee  for  services,  product  sales,  ticket  sales,  consulting  contracts,  registration  fees,  royalties,  leases  and  advertising  sales  for  a  periodical or directory. Notably,  Boschee  (2005)  emphasised  that  “just  because  an  organisation  generates  earned  income  does  not  mean  it  is  an  entrepreneurial  organisation”.  Indeed,  Boldero  (2004)  asserts  that,  ‘the  income  generating  activities  can  be  developed  around  a  particular  expertise  or  competence,  which  in  turn  can  lead  to  further  enterprising  activities’. Similarly Westall (2001, p.24) emphasised that: </w:t>
      </w:r>
      <w:r w:rsidRPr="00F363E1">
        <w:rPr>
          <w:rFonts w:ascii="Times New Roman" w:eastAsia="Times New Roman" w:hAnsi="Times New Roman" w:cs="Times New Roman"/>
          <w:sz w:val="21"/>
          <w:szCs w:val="21"/>
          <w:lang w:eastAsia="en-GB"/>
        </w:rPr>
        <w:t xml:space="preserve">SE  is  characterised  by  independence  from  grant  funding  (particularly  for  core  funding)  but  it  may  use  grants  where  appropriate  alongside  other  revenue  streams.  The  entrepreneurial  aspect  is  the  ability  to  harness  all  available  resources to achieve sustainable social aims. </w:t>
      </w:r>
      <w:r w:rsidRPr="00F363E1">
        <w:rPr>
          <w:rFonts w:ascii="Times New Roman" w:eastAsia="Times New Roman" w:hAnsi="Times New Roman" w:cs="Times New Roman"/>
          <w:sz w:val="23"/>
          <w:szCs w:val="23"/>
          <w:lang w:eastAsia="en-GB"/>
        </w:rPr>
        <w:t xml:space="preserve">There is a clear indication from the above arguments that SEs can emerge from the VCS but  not  without  hassle.  The  evidence  of  emergence  of  SEs  from  the  VCSOs  was  also  reinforced by some of the key informants at the exploratory stage of our research, which revealed that “the VCS is a continuum of which Social Enterprise is one element and has always been there as many charities have been trading on the market for years”. Also central to this paper is the evaluation of the capacity building support provision to   the   BME   VCSOs   transforming   to   SE.   We   noted   that   identifying   the   right   organisational  intervention  point  is  crucial  to  the  successful  transformation  thus  making  it imperative to establish a clear understanding of the concept of capacity building, which is  still  not  yet  fully  grasped  by  VCSOs  in  general.  In  its  application  to  VCS,  published  reports  from  the  Government  such  as  the  CCR  (HM  Treasury,  2002);  Connecting  Communities (Home Office, 2002); and Civil Renewal (NCVO, 2002, 2004) referred to capacity building as the main driver for change within the generic VCS. Indeed Skinner (1997, p.1) forcefully reminds us that capacity building is: </w:t>
      </w:r>
      <w:r w:rsidRPr="00F363E1">
        <w:rPr>
          <w:rFonts w:ascii="Times New Roman" w:eastAsia="Times New Roman" w:hAnsi="Times New Roman" w:cs="Times New Roman"/>
          <w:sz w:val="21"/>
          <w:szCs w:val="21"/>
          <w:lang w:eastAsia="en-GB"/>
        </w:rPr>
        <w:t xml:space="preserve">A  development  work  that  strengthens  the  ability  of  community  organisations  and   groups   to   build   their   structures,   systems,   people   and   skills   so   that      they  are  better  able  to  define  and  achieve  their  objectives  and  engage  in  consultation  and  planning,  manage  community  projects  and  take  part  in  partnerships   and   community   enterprises.   It   includes   aspect   of   training,   organisational  and  personal  development  and  resource  building  organised  in  a  planned  and  self-conscious  manner,  reflecting  </w:t>
      </w:r>
      <w:r w:rsidRPr="00F363E1">
        <w:rPr>
          <w:rFonts w:ascii="Times New Roman" w:eastAsia="Times New Roman" w:hAnsi="Times New Roman" w:cs="Times New Roman"/>
          <w:sz w:val="21"/>
          <w:szCs w:val="21"/>
          <w:lang w:eastAsia="en-GB"/>
        </w:rPr>
        <w:lastRenderedPageBreak/>
        <w:t xml:space="preserve">the  principles  of  empowerment  and equality. </w:t>
      </w:r>
      <w:r w:rsidRPr="00F363E1">
        <w:rPr>
          <w:rFonts w:ascii="Times New Roman" w:eastAsia="Times New Roman" w:hAnsi="Times New Roman" w:cs="Times New Roman"/>
          <w:sz w:val="23"/>
          <w:szCs w:val="23"/>
          <w:lang w:eastAsia="en-GB"/>
        </w:rPr>
        <w:t xml:space="preserve">The  key  terms  associated  with  capacity  building  are  ‘strengthening’,  ‘enabling’  and  ‘empowering’  through  training  and  Organisational  Development  (OD),  which  would  in  turn lead to the reduction of dependency by the VCSOs on a change-agent or consultant. The  change-agent  should,  however,  be  able  to  leave  the  skills  with  the  organisations  to  help them do the things for their own organisation and be able to survive independently rather than by being spoon-fed. Nevertheless,  there  is  still  no  real  definition  of  capacity  building  in  terms  of  its  applicability  to  the  VCS  and  its  meaning  sometimes  depends  on  the  activities  of  the  organisation   using   it,   for   example,   the   Council   for   Ethnic   Minority   Voluntary   Organisation’s  (CEMVO  –  a  national  voluntary  organisation  that  delivers  capacity  building  programme  to  the  VCS  in  the  UK)  capacity  building  programme  refers  to    a more strategic OD intervention whereas a community organisation’s capacity building programme  refers  to  conducting  community  development  work.  Harrow  (1998)  argued  ‘that   the   adaptation   of   the   term,   despite   the   lack   of   clear   understanding   might      have  something  to  do  with  this  vagueness  and  its  positive  soundness  tone’.  This  notion  has   created   perplexity   amongst   recipients   of   any   capacity   building   support   or   intervention. In   their   study   on   Strategic   capabilities   and   their   effects   on   performance      Garcia-Morales  et  al.  (2006,  p.208)  concluded  that  “...organisations  must  perform  strategic actions to aspire to transform themselves into entrepreneurial SMEs...” – which has a bearing on the transformation proposed in this study. They went on to suggest that such transformation ‘...should be supported by actions that reinforce ‘personal mastery’, ‘transformational leadership’ – and more relevant to this case – a ‘shared vision’ and the ‘absorptive capacity’’. However,    in    terms    of    acting    as    enabler    (what    capacity    building    should        really  be)  –  Kraus  and  Schwarz  (2007,  p.13)  in  their  paper  The  role  of  pre-start-up  planning  in  new  small  business  argued  that  “staff  of  governmental,  non-governmental  and academic institutions should be encouraged more to train entrepreneurs in preparing business  plans...”  if  there  was  no  guarantee  that  these  would  result  in  the  success  of  these organisations. </w:t>
      </w:r>
      <w:r w:rsidRPr="00F363E1">
        <w:rPr>
          <w:rFonts w:ascii="Times New Roman" w:eastAsia="Times New Roman" w:hAnsi="Times New Roman" w:cs="Times New Roman"/>
          <w:sz w:val="25"/>
          <w:szCs w:val="25"/>
          <w:lang w:eastAsia="en-GB"/>
        </w:rPr>
        <w:t>3</w:t>
      </w:r>
      <w:r w:rsidRPr="00F363E1">
        <w:rPr>
          <w:rFonts w:ascii="Helvetica" w:eastAsia="Times New Roman" w:hAnsi="Helvetica" w:cs="Times New Roman"/>
          <w:sz w:val="25"/>
          <w:szCs w:val="25"/>
          <w:lang w:eastAsia="en-GB"/>
        </w:rPr>
        <w:t xml:space="preserve"> </w:t>
      </w:r>
      <w:r w:rsidRPr="00F363E1">
        <w:rPr>
          <w:rFonts w:ascii="Times New Roman" w:eastAsia="Times New Roman" w:hAnsi="Times New Roman" w:cs="Times New Roman"/>
          <w:sz w:val="25"/>
          <w:szCs w:val="25"/>
          <w:lang w:eastAsia="en-GB"/>
        </w:rPr>
        <w:t xml:space="preserve">Methodology/approach </w:t>
      </w:r>
      <w:r w:rsidRPr="00F363E1">
        <w:rPr>
          <w:rFonts w:ascii="Times New Roman" w:eastAsia="Times New Roman" w:hAnsi="Times New Roman" w:cs="Times New Roman"/>
          <w:sz w:val="23"/>
          <w:szCs w:val="23"/>
          <w:lang w:eastAsia="en-GB"/>
        </w:rPr>
        <w:t>As  far  as  we  are  concerned  not  much  research  (both  published  and  otherwise)  had    been  undertaken  in  the  Yorkshire  and  Humber  region  of  the  UK  relating  to  our  study  focus – transformation of VCSOs to SE in the BME sector. This may have posed a major challenge  for  our  literature  review  and  hence,  limited  our  use  of  secondary  data.</w:t>
      </w:r>
      <w:r w:rsidRPr="00F363E1">
        <w:rPr>
          <w:rFonts w:ascii="Courier New" w:eastAsia="Times New Roman" w:hAnsi="Courier New" w:cs="Courier New"/>
          <w:sz w:val="23"/>
          <w:szCs w:val="23"/>
          <w:lang w:eastAsia="en-GB"/>
        </w:rPr>
        <w:t xml:space="preserve"> </w:t>
      </w:r>
      <w:r w:rsidRPr="00F363E1">
        <w:rPr>
          <w:rFonts w:ascii="Times New Roman" w:eastAsia="Times New Roman" w:hAnsi="Times New Roman" w:cs="Times New Roman"/>
          <w:sz w:val="23"/>
          <w:szCs w:val="23"/>
          <w:lang w:eastAsia="en-GB"/>
        </w:rPr>
        <w:t>However,  our  qualitative  primary  research  protocol  has  been  robust  –  taking  advantage  of  our  access  to  CEMVO, as  well  as  to  having  a  direct  involvement  with  the  BME  VCSOs  in  the  region  under  investigation.  This  ensured  that  access  to  information  particularly on collection and analysis of primary data was not particularly problematic. Using  the  qualitative  survey  technique,  we  were  able  to  collect  rich  data  for  this  paper  from  a  relatively  large  sample  (Oliver,  1997).  Moreover,  our  research  involved  a    two-stage process: 1</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the exploratory stage (which involved the use of a combination of one-to-one qualitative interviews; informal telephone interviews and use of e-mail correspondence) 2</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the confirmatory stage (where survey questionnaires were used in a qualitative fashion based on feedback from the exploratory stage). On  the  one  hand,  exploratory  research  is  arguably  the  most  appropriate  method  to    kick-start an investigation of this nature, as the ‘black box’ in the transition of the BME VCSOs  to  SE  could  be  better  investigated  using  this  method.  This  method  is  also  a  ‘valuable means of ascertaining phenomena; seeking new insights; asking questions and assessing  phenomena  in  new  light’  (Robson,  2002,  p.59  cited  in  Saunders  et  al.,  2003).  Our initial inquiry involved arranging an informal one-to-one meeting with a SE Adviser and  further  investigated  the  ‘real  needs’  of  the  BME  sector  through  CEMVO’s  client  database of organisations on the verge of transforming into SE. This is consistent with a similar  research  on  ‘Capacity  Building’  in  which  Patel  (2004)  stressed  that  ‘where  appropriate, researchers should consult and involve the community or population studied in identifying ways the research may be used to benefit the community’. By doing this, it is  guaranteed  that  the  result  is  geared  towards  addressing  ‘real  needs’  rather  than  doing  something of a token value. Having established the basic problem we compiled a questionnaire that was sent out to  key  informants  which  included  individuals  with  a  wide  range  of  expertise  and  experience  on  SE  (such  as  mainstream  service  providers,  intermediaries,  organisations  involved  in  conducting  research  studies  around  SE  with  the  VCS)  and  some  SE  organisations across the Yorkshire and Humber region. Prior to sending the questionnaire to  these  individuals  and  groups,  we  first  undertook  a  telephone  enquiry  with  them  to  ensure good response rate (see Madichie and Read, 2005). At the ‘confirmatory stage’ of our survey, on the other hand, a survey questionnaire was  administered  in  order  to  establish  the  needs  of,  and  challenges  faced  by  the  BME  VCSOs  in  the  region  that  limited  their  engagement  with  en</w:t>
      </w:r>
      <w:r>
        <w:rPr>
          <w:rFonts w:ascii="Times New Roman" w:eastAsia="Times New Roman" w:hAnsi="Times New Roman" w:cs="Times New Roman"/>
          <w:sz w:val="23"/>
          <w:szCs w:val="23"/>
          <w:lang w:eastAsia="en-GB"/>
        </w:rPr>
        <w:t xml:space="preserve">terprising  activities.  Being </w:t>
      </w:r>
      <w:r w:rsidRPr="00F363E1">
        <w:rPr>
          <w:rFonts w:ascii="Times New Roman" w:eastAsia="Times New Roman" w:hAnsi="Times New Roman" w:cs="Times New Roman"/>
          <w:sz w:val="23"/>
          <w:szCs w:val="23"/>
          <w:lang w:eastAsia="en-GB"/>
        </w:rPr>
        <w:t>first  of  its  kind  in  the  region,  the  survey  questionnaire  was  sent  out  to  300  BME  organisations  in  the  Yorkshire  and  Humber  Region  using  a  credible  mailing  list.  The  respondents were chosen using self-selection sampling for two reasons:  1</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cost effectiveness 2</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appropriateness of sampling technique to the research questions and objectives.  Bearing  in  mind  the  complexity  and  technicality  of  the  subject  under  study,  it  is  not  guaranteed  that  any  organisation  can  understand  the  questionnaire  hence,  hand  picking  the respondents is a sensible way of dealing with the problem.  Thus the representative of the  sample  under  self-selection  sampling  technique  is  not  guaranteed  but  cases  are    self-selected  (Bailey  et  al.,  1995;  Madichie  and  Read,  2005).  Having  years  of  research  experience in the BME sector enabled us to anticipate possible problems of low response rate for a survey of this nature due to: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‘research fatigue’ (JRF, 2003)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use of technical and jargon terms (Bailey et al., 1995)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not providing the respondents with options for their better understanding of the questions or problems raised (Harding and Crowling, 2004 and Boschee and McClurg, 2005). To   address   these   issues,   careful   consideration   was   given   to   the   design   of   our   questionnaire for the sake of simplicity and to allow for as many options as possible. The questions  asked  (especially  on  the  drivers  and  barriers  to  the  BME  VCS  engagement  in  SE) were based on the responses that emerged from our initial exploratory enquiry. This proved  effective  because  the  questions  confirmed  our  hunch  about  BME  VCSOs  (the  respondents)  based  on  the  comments  and  observations  of  these  practitioners.  To  further  determine   the   validity   of   the   options   given   and   ‘to   improve   the   clarity   of   the   questionnaire  and  the  effectiveness  of  the  questions  being  asked’  (Bailey  et  al., 1995), the  survey  questionnaire  was  first  piloted  to  two  BME  VCSOs.  This  is  in  line  with  Nimisha’s (1990) argument that: </w:t>
      </w:r>
      <w:r w:rsidRPr="00F363E1">
        <w:rPr>
          <w:rFonts w:ascii="Times New Roman" w:eastAsia="Times New Roman" w:hAnsi="Times New Roman" w:cs="Times New Roman"/>
          <w:sz w:val="21"/>
          <w:szCs w:val="21"/>
          <w:lang w:eastAsia="en-GB"/>
        </w:rPr>
        <w:t>Researchers  should  pilot  any  research  tools  to  assess  their  sensitivity  and  appropriateness  for  the  population  to  be  studied  and  to  otherwise  identify  and  elaborate any methodological difficulties, current or potential</w:t>
      </w:r>
      <w:r w:rsidRPr="00F363E1">
        <w:rPr>
          <w:rFonts w:ascii="Times New Roman" w:eastAsia="Times New Roman" w:hAnsi="Times New Roman" w:cs="Times New Roman"/>
          <w:sz w:val="23"/>
          <w:szCs w:val="23"/>
          <w:lang w:eastAsia="en-GB"/>
        </w:rPr>
        <w:t>. Overall the survey questionnaire allowed “the collection of a large amount of data from a sizeable population in a highly economical way” (Saunders et al., 2003). Its aim was to learn  more  about  the  community  of  study  in  the  following  areas  of  investigation  which  formed  the  basis  of  our  data  analysis  (see  Table  1  for  a  detailed  exposition  on  these  categories): 1</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main ethnicity served by the organisation 2</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geographical location in Yorkshire and Humber Region 3</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length of service 4</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legal status 5</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annual turn-over 6</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sources of income 7</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engagement in income generation activities 8</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types of income generating activities 9</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percentage of annual earned income  sustaining the organisation 11</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knowledge of SE 12</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potential of own organisation transforming to SE 13</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barriers 14</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drivers in embracing to SE. </w:t>
      </w:r>
    </w:p>
    <w:p w:rsidR="00F363E1" w:rsidRDefault="00F363E1" w:rsidP="00F363E1">
      <w:pPr>
        <w:spacing w:after="0" w:line="240" w:lineRule="auto"/>
        <w:rPr>
          <w:rFonts w:ascii="Times New Roman" w:eastAsia="Times New Roman" w:hAnsi="Times New Roman" w:cs="Times New Roman"/>
          <w:sz w:val="23"/>
          <w:szCs w:val="23"/>
          <w:lang w:eastAsia="en-GB"/>
        </w:rPr>
      </w:pPr>
    </w:p>
    <w:p w:rsidR="00F363E1" w:rsidRDefault="00F363E1" w:rsidP="00F363E1">
      <w:pPr>
        <w:spacing w:after="0" w:line="240" w:lineRule="auto"/>
        <w:rPr>
          <w:rFonts w:ascii="Times New Roman" w:eastAsia="Times New Roman" w:hAnsi="Times New Roman" w:cs="Times New Roman"/>
          <w:sz w:val="10"/>
          <w:szCs w:val="10"/>
          <w:lang w:eastAsia="en-GB"/>
        </w:rPr>
      </w:pPr>
      <w:r w:rsidRPr="00F363E1">
        <w:rPr>
          <w:rFonts w:ascii="Times New Roman" w:eastAsia="Times New Roman" w:hAnsi="Times New Roman" w:cs="Times New Roman"/>
          <w:sz w:val="21"/>
          <w:szCs w:val="21"/>
          <w:lang w:eastAsia="en-GB"/>
        </w:rPr>
        <w:t>Table 1 Research findings</w:t>
      </w:r>
      <w:r w:rsidRPr="00F363E1">
        <w:rPr>
          <w:rFonts w:ascii="Times New Roman" w:eastAsia="Times New Roman" w:hAnsi="Times New Roman" w:cs="Times New Roman"/>
          <w:sz w:val="10"/>
          <w:szCs w:val="10"/>
          <w:lang w:eastAsia="en-GB"/>
        </w:rPr>
        <w:t>1</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1. Legal status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Registered Charities (51</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Incorporated – that is, having a Company Limited by Guarantee status (33</w:t>
      </w:r>
      <w:r w:rsidRPr="00F363E1">
        <w:rPr>
          <w:rFonts w:ascii="Arial" w:eastAsia="Times New Roman" w:hAnsi="Arial" w:cs="Arial"/>
          <w:sz w:val="21"/>
          <w:szCs w:val="21"/>
          <w:lang w:eastAsia="en-GB"/>
        </w:rPr>
        <w:t>%)</w:t>
      </w:r>
      <w:r w:rsidRPr="00F363E1">
        <w:rPr>
          <w:rFonts w:ascii="Cambria Math" w:eastAsia="Times New Roman" w:hAnsi="Cambria Math" w:cs="Cambria Math"/>
          <w:sz w:val="14"/>
          <w:szCs w:val="14"/>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No legal status (27</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2. Geographical location (BME organisations)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West Yorkshire 71</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South Yorkshire – including places like Sheffield, Barnsley, Rotherham and North Lincolnshire (17</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 xml:space="preserve">North Yorkshire and Humberside – with most still at their development stage (less than 12%)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3. Annual turnover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Over £250,000 (8</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£100,000–£250,000 (4</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£10,000–£99,999 (31</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Below £10,000 (29</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4. Sources of income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Grants (62</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Donations (56</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Membership fees (31</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Earned income (22</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Sponsorship (11</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5. Engagement in income generation and percentage of earned income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Not engaged in any form of income generation (78</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Engaged in income generation (22</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6. Likelihood of engaging in enterprising activities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BMEs involved in enterprising activities (60</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Pakistanis (40</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Indians (20</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7. Types of income generating activities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Sales of services (80</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Contract work (60</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Rent/premises (20</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Hire of equipment (10</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8. Main difficulty in sustaining organisation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Lack of funding (62</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Lack of capacity and/or resources to deliver services (33</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r w:rsidRPr="00F363E1">
        <w:rPr>
          <w:rFonts w:ascii="Arial" w:eastAsia="Times New Roman" w:hAnsi="Arial" w:cs="Arial"/>
          <w:sz w:val="21"/>
          <w:szCs w:val="21"/>
          <w:lang w:eastAsia="en-GB"/>
        </w:rPr>
        <w:t>•</w:t>
      </w:r>
      <w:r w:rsidRPr="00F363E1">
        <w:rPr>
          <w:rFonts w:ascii="Helvetica" w:eastAsia="Times New Roman" w:hAnsi="Helvetica" w:cs="Times New Roman"/>
          <w:sz w:val="21"/>
          <w:szCs w:val="21"/>
          <w:lang w:eastAsia="en-GB"/>
        </w:rPr>
        <w:t xml:space="preserve"> </w:t>
      </w:r>
      <w:r w:rsidRPr="00F363E1">
        <w:rPr>
          <w:rFonts w:ascii="Times New Roman" w:eastAsia="Times New Roman" w:hAnsi="Times New Roman" w:cs="Times New Roman"/>
          <w:sz w:val="21"/>
          <w:szCs w:val="21"/>
          <w:lang w:eastAsia="en-GB"/>
        </w:rPr>
        <w:t>Change in government legislation (4</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p>
    <w:p w:rsidR="00F363E1" w:rsidRDefault="00F363E1" w:rsidP="00F363E1">
      <w:pPr>
        <w:spacing w:after="0" w:line="240" w:lineRule="auto"/>
        <w:rPr>
          <w:rFonts w:ascii="Times New Roman" w:eastAsia="Times New Roman" w:hAnsi="Times New Roman" w:cs="Times New Roman"/>
          <w:sz w:val="21"/>
          <w:szCs w:val="21"/>
          <w:lang w:eastAsia="en-GB"/>
        </w:rPr>
      </w:pPr>
    </w:p>
    <w:p w:rsidR="00F363E1" w:rsidRPr="00F363E1" w:rsidRDefault="00F363E1" w:rsidP="00F363E1">
      <w:pPr>
        <w:spacing w:after="0" w:line="240" w:lineRule="auto"/>
        <w:rPr>
          <w:rFonts w:ascii="Times New Roman" w:eastAsia="Times New Roman" w:hAnsi="Times New Roman" w:cs="Times New Roman"/>
          <w:sz w:val="24"/>
          <w:szCs w:val="24"/>
          <w:lang w:eastAsia="en-GB"/>
        </w:rPr>
      </w:pPr>
      <w:r w:rsidRPr="00F363E1">
        <w:rPr>
          <w:rFonts w:ascii="Times New Roman" w:eastAsia="Times New Roman" w:hAnsi="Times New Roman" w:cs="Times New Roman"/>
          <w:sz w:val="10"/>
          <w:szCs w:val="10"/>
          <w:lang w:eastAsia="en-GB"/>
        </w:rPr>
        <w:t>*</w:t>
      </w:r>
      <w:r w:rsidRPr="00F363E1">
        <w:rPr>
          <w:rFonts w:ascii="Times New Roman" w:eastAsia="Times New Roman" w:hAnsi="Times New Roman" w:cs="Times New Roman"/>
          <w:sz w:val="21"/>
          <w:szCs w:val="21"/>
          <w:lang w:eastAsia="en-GB"/>
        </w:rPr>
        <w:t>The majority (83</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of those that are incorporated are also registered as Charities. However, amongst those engaging in enterprising activities, only 20</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were incorporated.  </w:t>
      </w:r>
      <w:r w:rsidRPr="00F363E1">
        <w:rPr>
          <w:rFonts w:ascii="Times New Roman" w:eastAsia="Times New Roman" w:hAnsi="Times New Roman" w:cs="Times New Roman"/>
          <w:sz w:val="10"/>
          <w:szCs w:val="10"/>
          <w:lang w:eastAsia="en-GB"/>
        </w:rPr>
        <w:t>**</w:t>
      </w:r>
      <w:r w:rsidRPr="00F363E1">
        <w:rPr>
          <w:rFonts w:ascii="Times New Roman" w:eastAsia="Times New Roman" w:hAnsi="Times New Roman" w:cs="Times New Roman"/>
          <w:sz w:val="21"/>
          <w:szCs w:val="21"/>
          <w:lang w:eastAsia="en-GB"/>
        </w:rPr>
        <w:t xml:space="preserve">This suggests that the majority of the organisations fall under the category of ‘small organisation’.  </w:t>
      </w:r>
      <w:r w:rsidRPr="00F363E1">
        <w:rPr>
          <w:rFonts w:ascii="Times New Roman" w:eastAsia="Times New Roman" w:hAnsi="Times New Roman" w:cs="Times New Roman"/>
          <w:sz w:val="10"/>
          <w:szCs w:val="10"/>
          <w:lang w:eastAsia="en-GB"/>
        </w:rPr>
        <w:t>***</w:t>
      </w:r>
      <w:r w:rsidRPr="00F363E1">
        <w:rPr>
          <w:rFonts w:ascii="Times New Roman" w:eastAsia="Times New Roman" w:hAnsi="Times New Roman" w:cs="Times New Roman"/>
          <w:sz w:val="21"/>
          <w:szCs w:val="21"/>
          <w:lang w:eastAsia="en-GB"/>
        </w:rPr>
        <w:t>Of those involved in income generation, two have been doing it for over 10 years;  one for over a year and another one for the life of the organisation. Two of the respondents, including the one that has been engaged since the start of the organisation, have earned income of 50</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or more of their annual turnover.  The rest are below 25</w:t>
      </w:r>
      <w:r w:rsidRPr="00F363E1">
        <w:rPr>
          <w:rFonts w:ascii="Arial" w:eastAsia="Times New Roman" w:hAnsi="Arial" w:cs="Arial"/>
          <w:sz w:val="21"/>
          <w:szCs w:val="21"/>
          <w:lang w:eastAsia="en-GB"/>
        </w:rPr>
        <w:t>%</w:t>
      </w:r>
      <w:r w:rsidRPr="00F363E1">
        <w:rPr>
          <w:rFonts w:ascii="Times New Roman" w:eastAsia="Times New Roman" w:hAnsi="Times New Roman" w:cs="Times New Roman"/>
          <w:sz w:val="21"/>
          <w:szCs w:val="21"/>
          <w:lang w:eastAsia="en-GB"/>
        </w:rPr>
        <w:t xml:space="preserve">. </w:t>
      </w:r>
    </w:p>
    <w:p w:rsidR="00F363E1" w:rsidRPr="00F363E1" w:rsidRDefault="00F363E1" w:rsidP="00F363E1">
      <w:pPr>
        <w:spacing w:after="0" w:line="240" w:lineRule="auto"/>
        <w:rPr>
          <w:rFonts w:ascii="Times New Roman" w:eastAsia="Times New Roman" w:hAnsi="Times New Roman" w:cs="Times New Roman"/>
          <w:sz w:val="24"/>
          <w:szCs w:val="24"/>
          <w:lang w:eastAsia="en-GB"/>
        </w:rPr>
      </w:pPr>
      <w:r w:rsidRPr="00F363E1">
        <w:rPr>
          <w:rFonts w:ascii="Times New Roman" w:eastAsia="Times New Roman" w:hAnsi="Times New Roman" w:cs="Times New Roman"/>
          <w:sz w:val="23"/>
          <w:szCs w:val="23"/>
          <w:lang w:eastAsia="en-GB"/>
        </w:rPr>
        <w:t xml:space="preserve">It  is  worth  stating  also  that  we  enjoyed  a  hands–on  experience  of  the  subject  matter  by  adopting what may be akin to participant observation – a subset of ethnographic research defined  as  “a  research  approach,  which  attempts  to  provide  a  detailed  description  and  analysis of a social setting, the people who are part of that setting and the way in which they interact” (see Oliver, 1997; Robson, 2002; Saunders et al., 2003). </w:t>
      </w:r>
      <w:r w:rsidRPr="00F363E1">
        <w:rPr>
          <w:rFonts w:ascii="Times New Roman" w:eastAsia="Times New Roman" w:hAnsi="Times New Roman" w:cs="Times New Roman"/>
          <w:sz w:val="25"/>
          <w:szCs w:val="25"/>
          <w:lang w:eastAsia="en-GB"/>
        </w:rPr>
        <w:t>4</w:t>
      </w:r>
      <w:r w:rsidRPr="00F363E1">
        <w:rPr>
          <w:rFonts w:ascii="Helvetica" w:eastAsia="Times New Roman" w:hAnsi="Helvetica" w:cs="Times New Roman"/>
          <w:sz w:val="25"/>
          <w:szCs w:val="25"/>
          <w:lang w:eastAsia="en-GB"/>
        </w:rPr>
        <w:t xml:space="preserve"> </w:t>
      </w:r>
      <w:r w:rsidRPr="00F363E1">
        <w:rPr>
          <w:rFonts w:ascii="Times New Roman" w:eastAsia="Times New Roman" w:hAnsi="Times New Roman" w:cs="Times New Roman"/>
          <w:sz w:val="25"/>
          <w:szCs w:val="25"/>
          <w:lang w:eastAsia="en-GB"/>
        </w:rPr>
        <w:t xml:space="preserve">Findings </w:t>
      </w:r>
      <w:r w:rsidRPr="00F363E1">
        <w:rPr>
          <w:rFonts w:ascii="Times New Roman" w:eastAsia="Times New Roman" w:hAnsi="Times New Roman" w:cs="Times New Roman"/>
          <w:sz w:val="23"/>
          <w:szCs w:val="23"/>
          <w:lang w:eastAsia="en-GB"/>
        </w:rPr>
        <w:t>Our  key  findings  suggest  that  despite  the  numerous  barriers  in  the  transition  of  VCSOs  into  full  blown  SEs,  some  are  still  willing,  but  not  able  to  take  the  plunge.  However,  success can only be achieved through effective engagement with the BME VCSOs in the provision of an efficient capacity building programme. Our findings cut across the main ethnicities  served;  geographical  locations  of  these  BMEs;  the  lengths  of  service;  legal  status;  annual  turnover;  source  of  income; engagement  in  income  generation  and  percentage  of  earned  income;  types  of  income  generating  activities  and  the  main  difficulties  in  sustaining  the  VCSOs  momentum  (see  Table  1). In  the  discussion  on  the  ‘Knowledge  of  SE’  in  particular,  we  recognised  that  about  66</w:t>
      </w:r>
      <w:r w:rsidRPr="00F363E1">
        <w:rPr>
          <w:rFonts w:ascii="Arial" w:eastAsia="Times New Roman" w:hAnsi="Arial" w:cs="Arial"/>
          <w:sz w:val="23"/>
          <w:szCs w:val="23"/>
          <w:lang w:eastAsia="en-GB"/>
        </w:rPr>
        <w:t>%</w:t>
      </w:r>
      <w:r w:rsidRPr="00F363E1">
        <w:rPr>
          <w:rFonts w:ascii="Times New Roman" w:eastAsia="Times New Roman" w:hAnsi="Times New Roman" w:cs="Times New Roman"/>
          <w:sz w:val="23"/>
          <w:szCs w:val="23"/>
          <w:lang w:eastAsia="en-GB"/>
        </w:rPr>
        <w:t xml:space="preserve">  of  our  respondents  claimed not to have any knowledge of what the term meant; 16</w:t>
      </w:r>
      <w:r w:rsidRPr="00F363E1">
        <w:rPr>
          <w:rFonts w:ascii="Arial" w:eastAsia="Times New Roman" w:hAnsi="Arial" w:cs="Arial"/>
          <w:sz w:val="23"/>
          <w:szCs w:val="23"/>
          <w:lang w:eastAsia="en-GB"/>
        </w:rPr>
        <w:t>%</w:t>
      </w:r>
      <w:r w:rsidRPr="00F363E1">
        <w:rPr>
          <w:rFonts w:ascii="Times New Roman" w:eastAsia="Times New Roman" w:hAnsi="Times New Roman" w:cs="Times New Roman"/>
          <w:sz w:val="23"/>
          <w:szCs w:val="23"/>
          <w:lang w:eastAsia="en-GB"/>
        </w:rPr>
        <w:t xml:space="preserve"> were unsure about such knowledge. Some of those who were unsure mentioned that they neither understood the concept  nor  even  ever  heard  about  it.  However,  more  than  56</w:t>
      </w:r>
      <w:r w:rsidRPr="00F363E1">
        <w:rPr>
          <w:rFonts w:ascii="Arial" w:eastAsia="Times New Roman" w:hAnsi="Arial" w:cs="Arial"/>
          <w:sz w:val="23"/>
          <w:szCs w:val="23"/>
          <w:lang w:eastAsia="en-GB"/>
        </w:rPr>
        <w:t>%</w:t>
      </w:r>
      <w:r w:rsidRPr="00F363E1">
        <w:rPr>
          <w:rFonts w:ascii="Times New Roman" w:eastAsia="Times New Roman" w:hAnsi="Times New Roman" w:cs="Times New Roman"/>
          <w:sz w:val="23"/>
          <w:szCs w:val="23"/>
          <w:lang w:eastAsia="en-GB"/>
        </w:rPr>
        <w:t xml:space="preserve">  of  the  respondents  believed  that  engagement  in  enterprising  activities  could  create  more  sustainability  for  their  organisations.  But  when  asked  if  they  saw  a  potential  for  their  organisation  to  become Socially Enterprising (SE), only 38</w:t>
      </w:r>
      <w:r w:rsidRPr="00F363E1">
        <w:rPr>
          <w:rFonts w:ascii="Arial" w:eastAsia="Times New Roman" w:hAnsi="Arial" w:cs="Arial"/>
          <w:sz w:val="23"/>
          <w:szCs w:val="23"/>
          <w:lang w:eastAsia="en-GB"/>
        </w:rPr>
        <w:t>%</w:t>
      </w:r>
      <w:r w:rsidRPr="00F363E1">
        <w:rPr>
          <w:rFonts w:ascii="Times New Roman" w:eastAsia="Times New Roman" w:hAnsi="Times New Roman" w:cs="Times New Roman"/>
          <w:sz w:val="23"/>
          <w:szCs w:val="23"/>
          <w:lang w:eastAsia="en-GB"/>
        </w:rPr>
        <w:t xml:space="preserve"> were optimistic. On the other hand, out of those that are engaged in income generating activities, only about  20</w:t>
      </w:r>
      <w:r w:rsidRPr="00F363E1">
        <w:rPr>
          <w:rFonts w:ascii="Arial" w:eastAsia="Times New Roman" w:hAnsi="Arial" w:cs="Arial"/>
          <w:sz w:val="23"/>
          <w:szCs w:val="23"/>
          <w:lang w:eastAsia="en-GB"/>
        </w:rPr>
        <w:t>%</w:t>
      </w:r>
      <w:r w:rsidRPr="00F363E1">
        <w:rPr>
          <w:rFonts w:ascii="Times New Roman" w:eastAsia="Times New Roman" w:hAnsi="Times New Roman" w:cs="Times New Roman"/>
          <w:sz w:val="23"/>
          <w:szCs w:val="23"/>
          <w:lang w:eastAsia="en-GB"/>
        </w:rPr>
        <w:t xml:space="preserve">  admitted  knowledge  of  SE;  20</w:t>
      </w:r>
      <w:r w:rsidRPr="00F363E1">
        <w:rPr>
          <w:rFonts w:ascii="Arial" w:eastAsia="Times New Roman" w:hAnsi="Arial" w:cs="Arial"/>
          <w:sz w:val="23"/>
          <w:szCs w:val="23"/>
          <w:lang w:eastAsia="en-GB"/>
        </w:rPr>
        <w:t>%</w:t>
      </w:r>
      <w:r w:rsidRPr="00F363E1">
        <w:rPr>
          <w:rFonts w:ascii="Times New Roman" w:eastAsia="Times New Roman" w:hAnsi="Times New Roman" w:cs="Times New Roman"/>
          <w:sz w:val="23"/>
          <w:szCs w:val="23"/>
          <w:lang w:eastAsia="en-GB"/>
        </w:rPr>
        <w:t xml:space="preserve">  were  unsure  and  a  worrying  60</w:t>
      </w:r>
      <w:r w:rsidRPr="00F363E1">
        <w:rPr>
          <w:rFonts w:ascii="Arial" w:eastAsia="Times New Roman" w:hAnsi="Arial" w:cs="Arial"/>
          <w:sz w:val="23"/>
          <w:szCs w:val="23"/>
          <w:lang w:eastAsia="en-GB"/>
        </w:rPr>
        <w:t>%</w:t>
      </w:r>
      <w:r w:rsidRPr="00F363E1">
        <w:rPr>
          <w:rFonts w:ascii="Times New Roman" w:eastAsia="Times New Roman" w:hAnsi="Times New Roman" w:cs="Times New Roman"/>
          <w:sz w:val="23"/>
          <w:szCs w:val="23"/>
          <w:lang w:eastAsia="en-GB"/>
        </w:rPr>
        <w:t xml:space="preserve">  had  not.  The  latter  finding  suggests  that  engagement  in  income  generating  activities  does  not  necessarily relate to knowledge of SE. Some organisations were not even aware that their current income generating activities could be developed into SE – which leads us to the discourse   on   the   possible   drivers   and   barriers   of   VCS   transformation   to   social   enterprising  activity  (see  Table  2). In  identifying  the  top  five  drivers  and  barriers,  we  used a 30</w:t>
      </w:r>
      <w:r w:rsidRPr="00F363E1">
        <w:rPr>
          <w:rFonts w:ascii="Arial" w:eastAsia="Times New Roman" w:hAnsi="Arial" w:cs="Arial"/>
          <w:sz w:val="23"/>
          <w:szCs w:val="23"/>
          <w:lang w:eastAsia="en-GB"/>
        </w:rPr>
        <w:t>%</w:t>
      </w:r>
      <w:r w:rsidRPr="00F363E1">
        <w:rPr>
          <w:rFonts w:ascii="Times New Roman" w:eastAsia="Times New Roman" w:hAnsi="Times New Roman" w:cs="Times New Roman"/>
          <w:sz w:val="23"/>
          <w:szCs w:val="23"/>
          <w:lang w:eastAsia="en-GB"/>
        </w:rPr>
        <w:t xml:space="preserve"> cut-off point, which simply means anything below 30</w:t>
      </w:r>
      <w:r w:rsidRPr="00F363E1">
        <w:rPr>
          <w:rFonts w:ascii="Arial" w:eastAsia="Times New Roman" w:hAnsi="Arial" w:cs="Arial"/>
          <w:sz w:val="23"/>
          <w:szCs w:val="23"/>
          <w:lang w:eastAsia="en-GB"/>
        </w:rPr>
        <w:t>%</w:t>
      </w:r>
      <w:r w:rsidRPr="00F363E1">
        <w:rPr>
          <w:rFonts w:ascii="Times New Roman" w:eastAsia="Times New Roman" w:hAnsi="Times New Roman" w:cs="Times New Roman"/>
          <w:sz w:val="23"/>
          <w:szCs w:val="23"/>
          <w:lang w:eastAsia="en-GB"/>
        </w:rPr>
        <w:t xml:space="preserve"> was not considered. Using  this  method  of  data  reduction  means  pulling  out  commonalities  amongst  the  findings.  Table  2  illustrates  the  top  five  drivers  and  barriers  to  the  development  of  SE  within the BME sector as revealed by the respondents. These are listed in chronological order with the highest in rank stated first. Not  many  of  the  organisations  that  responded  to  the  survey  questionnaire  have  acknowledged  the  implications  of  the  Government’s  legislation  to  their  transformation  drives  towards  SE  status.  The  reality,  however,  is  that  the  UK  government  on  the  one  hand, is seen as one of the key drivers to this transformation. This is very evident in the following legislation: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the DTI’s social enterprise strategy (see DTI, 2002)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CCR on Public Spending 2002 (see Home Office, 1999a–c and  HM Treasury, 2002)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neighbourhood renewal (Neighbourhood Renewal Unit, 2004;  Shutt et al., 2003)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modernising local government agenda. </w:t>
      </w:r>
    </w:p>
    <w:p w:rsidR="00F363E1" w:rsidRDefault="00F363E1" w:rsidP="00F363E1">
      <w:pPr>
        <w:spacing w:after="0" w:line="240" w:lineRule="auto"/>
        <w:rPr>
          <w:rFonts w:ascii="Times New Roman" w:eastAsia="Times New Roman" w:hAnsi="Times New Roman" w:cs="Times New Roman"/>
          <w:sz w:val="24"/>
          <w:szCs w:val="24"/>
          <w:lang w:eastAsia="en-GB"/>
        </w:rPr>
      </w:pPr>
    </w:p>
    <w:p w:rsidR="00F363E1" w:rsidRDefault="00F363E1" w:rsidP="00F363E1">
      <w:pPr>
        <w:spacing w:after="0" w:line="240" w:lineRule="auto"/>
        <w:rPr>
          <w:rFonts w:ascii="Times New Roman" w:eastAsia="Times New Roman" w:hAnsi="Times New Roman" w:cs="Times New Roman"/>
          <w:sz w:val="21"/>
          <w:szCs w:val="21"/>
          <w:lang w:eastAsia="en-GB"/>
        </w:rPr>
      </w:pPr>
      <w:r>
        <w:rPr>
          <w:rFonts w:ascii="Times New Roman" w:eastAsia="Times New Roman" w:hAnsi="Times New Roman" w:cs="Times New Roman"/>
          <w:sz w:val="21"/>
          <w:szCs w:val="21"/>
          <w:lang w:eastAsia="en-GB"/>
        </w:rPr>
        <w:t>Table 2:</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Top five (5) drivers and barriers to soci</w:t>
      </w:r>
      <w:r>
        <w:rPr>
          <w:rFonts w:ascii="Times New Roman" w:eastAsia="Times New Roman" w:hAnsi="Times New Roman" w:cs="Times New Roman"/>
          <w:sz w:val="21"/>
          <w:szCs w:val="21"/>
          <w:lang w:eastAsia="en-GB"/>
        </w:rPr>
        <w:t xml:space="preserve">al entrepreneurship Rank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1. Lack of available funding* Lack of resources for example, human, capital and equipment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2. Difficulty in coping with laborious bidding process and meeting funder’s requirements</w:t>
      </w:r>
      <w:r w:rsidRPr="00F363E1">
        <w:rPr>
          <w:rFonts w:ascii="Times New Roman" w:eastAsia="Times New Roman" w:hAnsi="Times New Roman" w:cs="Times New Roman"/>
          <w:sz w:val="10"/>
          <w:szCs w:val="10"/>
          <w:lang w:eastAsia="en-GB"/>
        </w:rPr>
        <w:t>a</w:t>
      </w:r>
      <w:r w:rsidRPr="00F363E1">
        <w:rPr>
          <w:rFonts w:ascii="Times New Roman" w:eastAsia="Times New Roman" w:hAnsi="Times New Roman" w:cs="Times New Roman"/>
          <w:sz w:val="21"/>
          <w:szCs w:val="21"/>
          <w:lang w:eastAsia="en-GB"/>
        </w:rPr>
        <w:t xml:space="preserve"> Lack of awareness of what SE is and how it is established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3. Too many organisations bidding for the same pot of money</w:t>
      </w:r>
      <w:r w:rsidRPr="00F363E1">
        <w:rPr>
          <w:rFonts w:ascii="Times New Roman" w:eastAsia="Times New Roman" w:hAnsi="Times New Roman" w:cs="Times New Roman"/>
          <w:sz w:val="10"/>
          <w:szCs w:val="10"/>
          <w:lang w:eastAsia="en-GB"/>
        </w:rPr>
        <w:t>a</w:t>
      </w:r>
      <w:r w:rsidRPr="00F363E1">
        <w:rPr>
          <w:rFonts w:ascii="Times New Roman" w:eastAsia="Times New Roman" w:hAnsi="Times New Roman" w:cs="Times New Roman"/>
          <w:sz w:val="21"/>
          <w:szCs w:val="21"/>
          <w:lang w:eastAsia="en-GB"/>
        </w:rPr>
        <w:t xml:space="preserve"> Lack of awareness and access to SE support; and lack of awareness that the organisation could be transformed into SE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4. Desire and commitment for independence/self-reliance and long-term sustainability Lack of awareness of business and commercial issues </w:t>
      </w:r>
    </w:p>
    <w:p w:rsid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5. Seeing a potential to generate own income The concept of charging for</w:t>
      </w:r>
      <w:r>
        <w:rPr>
          <w:rFonts w:ascii="Times New Roman" w:eastAsia="Times New Roman" w:hAnsi="Times New Roman" w:cs="Times New Roman"/>
          <w:sz w:val="21"/>
          <w:szCs w:val="21"/>
          <w:lang w:eastAsia="en-GB"/>
        </w:rPr>
        <w:t xml:space="preserve"> what used to be a free service.</w:t>
      </w:r>
      <w:r w:rsidRPr="00F363E1">
        <w:rPr>
          <w:rFonts w:ascii="Times New Roman" w:eastAsia="Times New Roman" w:hAnsi="Times New Roman" w:cs="Times New Roman"/>
          <w:sz w:val="21"/>
          <w:szCs w:val="21"/>
          <w:lang w:eastAsia="en-GB"/>
        </w:rPr>
        <w:t xml:space="preserve">    </w:t>
      </w:r>
    </w:p>
    <w:p w:rsidR="00F363E1" w:rsidRDefault="00F363E1" w:rsidP="00F363E1">
      <w:pPr>
        <w:spacing w:after="0" w:line="240" w:lineRule="auto"/>
        <w:rPr>
          <w:rFonts w:ascii="Times New Roman" w:eastAsia="Times New Roman" w:hAnsi="Times New Roman" w:cs="Times New Roman"/>
          <w:sz w:val="21"/>
          <w:szCs w:val="21"/>
          <w:lang w:eastAsia="en-GB"/>
        </w:rPr>
      </w:pPr>
    </w:p>
    <w:p w:rsidR="00F363E1" w:rsidRPr="00F363E1" w:rsidRDefault="00F363E1" w:rsidP="00F363E1">
      <w:pPr>
        <w:spacing w:after="0" w:line="240" w:lineRule="auto"/>
        <w:rPr>
          <w:rFonts w:ascii="Times New Roman" w:eastAsia="Times New Roman" w:hAnsi="Times New Roman" w:cs="Times New Roman"/>
          <w:sz w:val="21"/>
          <w:szCs w:val="21"/>
          <w:lang w:eastAsia="en-GB"/>
        </w:rPr>
      </w:pPr>
      <w:r w:rsidRPr="00F363E1">
        <w:rPr>
          <w:rFonts w:ascii="Times New Roman" w:eastAsia="Times New Roman" w:hAnsi="Times New Roman" w:cs="Times New Roman"/>
          <w:sz w:val="21"/>
          <w:szCs w:val="21"/>
          <w:lang w:eastAsia="en-GB"/>
        </w:rPr>
        <w:t xml:space="preserve">*Note that from our survey, a sample of BME VCSOs indicated using these supposed barriers as a stepping stone for transforming into SE. For example, one of our respondents – a former Head of West Yorkshire SE clearly pointed out that “...The disappearance of grant funding means that the voluntary and community  sector is thinking more about sustainability, and social enterprise allows  for income generation as a means to that end...”and “...The BME VCSO  sector is already comparatively under funded which might remove  an obstacle to an enterprising perspective in terms of converting from  grant to earned income”. </w:t>
      </w:r>
      <w:r w:rsidRPr="00F363E1">
        <w:rPr>
          <w:rFonts w:ascii="Times New Roman" w:eastAsia="Times New Roman" w:hAnsi="Times New Roman" w:cs="Times New Roman"/>
          <w:sz w:val="23"/>
          <w:szCs w:val="23"/>
          <w:lang w:eastAsia="en-GB"/>
        </w:rPr>
        <w:t>These  legislations  have  wider  implications  for  the  reform  of  public  services  in  the  following capacities: 1</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higher standard and accountability 2</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devolution and diversity 3</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flexibility 4</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promotion of choice. On the other hand, the VCS organisations remain unclear about what they can and cannot do in terms of complying with the Charities Act when engaging in trading activities that could  lead  them  to  realising  their  Social  Enterprise  potential.  The  transformation  of  a  VCSO  to  SE  tends  to  be  more  apparent  when  the  former  loses  its  charity  status  and  learns  to  stand  on  its  own  feet.  The  Charities  Commission  nonetheless  allows  trading    for  charities  provided  that  organisations  follow  the  ‘CC  35  –  Charities  and  Trading’  guidelines   which   explains   when   charities   may   engage   in   trading   activities   for      fund-raising  purposes,  and  when  a  separate  subsidiary  trading  company  should  be  established  to  carry  out  those  activities.  However,  trading  is  restricted  in  some  way  in  that  it  only  allows  trading  that  is  part  of  the  ‘primary  purpose’  of  the  charity  or  those  trading  activities  that  are  intended  to  raise  funds  for  charitable  purposes  (non-primary  purpose) and providing that the profits are applied for the purposes of the charity. Indeed trading by a charitable organisation can only be seen to be legitimate when it falls under </w:t>
      </w:r>
    </w:p>
    <w:p w:rsidR="00F363E1" w:rsidRPr="00F363E1" w:rsidRDefault="00F363E1" w:rsidP="00F363E1">
      <w:pPr>
        <w:spacing w:after="0" w:line="240" w:lineRule="auto"/>
        <w:rPr>
          <w:rFonts w:ascii="Times New Roman" w:eastAsia="Times New Roman" w:hAnsi="Times New Roman" w:cs="Times New Roman"/>
          <w:sz w:val="24"/>
          <w:szCs w:val="24"/>
          <w:lang w:eastAsia="en-GB"/>
        </w:rPr>
      </w:pPr>
      <w:r w:rsidRPr="00F363E1">
        <w:rPr>
          <w:rFonts w:ascii="Times New Roman" w:eastAsia="Times New Roman" w:hAnsi="Times New Roman" w:cs="Times New Roman"/>
          <w:sz w:val="23"/>
          <w:szCs w:val="23"/>
          <w:lang w:eastAsia="en-GB"/>
        </w:rPr>
        <w:t xml:space="preserve">any of these above categories. The trading surplus can only be exempted from tax if the profit  from  any  such  trading  is  only  used  for  the  purposes  of  the  charity  and  as  long  as  such trade meets the following set criteria (Charity Commission, 2001):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trading must be part of the primary purpose of the charity or its ancillary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the work in connection with the trade must be mainly carried out by the beneficiaries of the charity  </w:t>
      </w:r>
      <w:r w:rsidRPr="00F363E1">
        <w:rPr>
          <w:rFonts w:ascii="Arial" w:eastAsia="Times New Roman" w:hAnsi="Arial" w:cs="Arial"/>
          <w:sz w:val="23"/>
          <w:szCs w:val="23"/>
          <w:lang w:eastAsia="en-GB"/>
        </w:rPr>
        <w:t>•</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the annual turnover of a non-primary purpose trade must fall below  certain limits (either below £50,000 or 25% of the gross income  of the charity).  It  is  important  to  state,  however,  that  the  term  ‘charity’  does  not  apply  only  to  the  VCSOs.    The  ‘CC35’  is  in  itself  a  grey  area.  A  new  Bill  has  been  put  forward  by  the  Charity Commission to the Parliament and one of the proposed changes is the relaxation of  the  audit  threshold.  A  new  legal  model  (Community  Interest)  is  also  being  proposed  which  would  facilitate  the  growth  of  SE  activity  within  both  charitable  and  cooperative  organisations. </w:t>
      </w:r>
      <w:r w:rsidRPr="00F363E1">
        <w:rPr>
          <w:rFonts w:ascii="Times New Roman" w:eastAsia="Times New Roman" w:hAnsi="Times New Roman" w:cs="Times New Roman"/>
          <w:sz w:val="25"/>
          <w:szCs w:val="25"/>
          <w:lang w:eastAsia="en-GB"/>
        </w:rPr>
        <w:t>5</w:t>
      </w:r>
      <w:r w:rsidRPr="00F363E1">
        <w:rPr>
          <w:rFonts w:ascii="Helvetica" w:eastAsia="Times New Roman" w:hAnsi="Helvetica" w:cs="Times New Roman"/>
          <w:sz w:val="25"/>
          <w:szCs w:val="25"/>
          <w:lang w:eastAsia="en-GB"/>
        </w:rPr>
        <w:t xml:space="preserve"> </w:t>
      </w:r>
      <w:r w:rsidRPr="00F363E1">
        <w:rPr>
          <w:rFonts w:ascii="Times New Roman" w:eastAsia="Times New Roman" w:hAnsi="Times New Roman" w:cs="Times New Roman"/>
          <w:sz w:val="25"/>
          <w:szCs w:val="25"/>
          <w:lang w:eastAsia="en-GB"/>
        </w:rPr>
        <w:t xml:space="preserve">Conclusions </w:t>
      </w:r>
      <w:r w:rsidRPr="00F363E1">
        <w:rPr>
          <w:rFonts w:ascii="Times New Roman" w:eastAsia="Times New Roman" w:hAnsi="Times New Roman" w:cs="Times New Roman"/>
          <w:sz w:val="23"/>
          <w:szCs w:val="23"/>
          <w:lang w:eastAsia="en-GB"/>
        </w:rPr>
        <w:t>It  is  clear  from  our  discussions  so  far  that many  BME  VCSOs  are  small,  under-funded  and  lack  the  capacity  to  grow  –  hence  not  too  surprising  that  they  have  not  taken  full  advantage  of  the  UK  government  provisions  for  entrepreneurial  activities.  Our  findings  only  reinforce  the  common  perception  that  policy  makers  already  have  –  despite  the  government’s recognition of this problem the BME VCSOs are still  1</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not accessing the right support 2</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not been made aware of the opportunities ahead of them 3</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still continue to be undervalued by the local service providers. A meaningful engagement in a local level through the provision of an effective capacity building  programme  is  therefore,  crucial  to  the  sector’s  transformation  to  SE  for  their  sustainability. However, there is a need to strike the right balance on the involvement of social  actors,  in  order  to  ensure  that  the  VCSOs  themselves  have  ownership  to  the  changes that affects their respective organisations. We   have   highlighted   those   challenges   faced   by   the   BME   VCSOs   in   their   transformation  to  SE  and  how  these  can  be  addressed  through  the  provision  of  an  effective  capacity  building  programme.  Some  BME  VCSOs  are  capable  of  engaging  in  enterprising  activities,  despite  the  challenges  that  they  have  to  face  in  order  to  compete  with the generic VCS in winning public confidence, mainstream support and climbing up the  ladder  to  find  their  way  up  to  the  market,  therefore,  it  is  realistic  for  them  to  transform to SE, which presents a clear case for sustainability. In this concluding section we summarise the discussion into 5 main themes: 1</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Firstly,</w:t>
      </w:r>
      <w:r w:rsidRPr="00F363E1">
        <w:rPr>
          <w:rFonts w:ascii="Courier New" w:eastAsia="Times New Roman" w:hAnsi="Courier New" w:cs="Courier New"/>
          <w:sz w:val="23"/>
          <w:szCs w:val="23"/>
          <w:lang w:eastAsia="en-GB"/>
        </w:rPr>
        <w:t xml:space="preserve"> </w:t>
      </w:r>
      <w:r w:rsidRPr="00F363E1">
        <w:rPr>
          <w:rFonts w:ascii="Times New Roman" w:eastAsia="Times New Roman" w:hAnsi="Times New Roman" w:cs="Times New Roman"/>
          <w:sz w:val="23"/>
          <w:szCs w:val="23"/>
          <w:lang w:eastAsia="en-GB"/>
        </w:rPr>
        <w:t>the BME VCS organisations have to adopt the ‘earned income strategy’ and for the transformation to be more manageable, they need to work their way up gradually to attain a level of sustainability, before finding their way to the ultimate level of self-sufficiency. Indeed, most of the barriers to the BME VCSOs engagement in enterprising activities are internally generated and are often related to the mind</w:t>
      </w:r>
      <w:r>
        <w:rPr>
          <w:rFonts w:ascii="Times New Roman" w:eastAsia="Times New Roman" w:hAnsi="Times New Roman" w:cs="Times New Roman"/>
          <w:sz w:val="23"/>
          <w:szCs w:val="23"/>
          <w:lang w:eastAsia="en-GB"/>
        </w:rPr>
        <w:t>-</w:t>
      </w:r>
      <w:r w:rsidRPr="00F363E1">
        <w:rPr>
          <w:rFonts w:ascii="Times New Roman" w:eastAsia="Times New Roman" w:hAnsi="Times New Roman" w:cs="Times New Roman"/>
          <w:sz w:val="23"/>
          <w:szCs w:val="23"/>
          <w:lang w:eastAsia="en-GB"/>
        </w:rPr>
        <w:t>set or culture of the organisations. However, there is a strong desire for the sector to enhance their sustainability through engagement in enterprising activities. Depending on who is leading the organisation, the governing body that takes decisions for the orga</w:t>
      </w:r>
      <w:r>
        <w:rPr>
          <w:rFonts w:ascii="Times New Roman" w:eastAsia="Times New Roman" w:hAnsi="Times New Roman" w:cs="Times New Roman"/>
          <w:sz w:val="23"/>
          <w:szCs w:val="23"/>
          <w:lang w:eastAsia="en-GB"/>
        </w:rPr>
        <w:t>nisation can sometimes hold</w:t>
      </w:r>
      <w:r w:rsidRPr="00F363E1">
        <w:rPr>
          <w:rFonts w:ascii="Times New Roman" w:eastAsia="Times New Roman" w:hAnsi="Times New Roman" w:cs="Times New Roman"/>
          <w:sz w:val="23"/>
          <w:szCs w:val="23"/>
          <w:lang w:eastAsia="en-GB"/>
        </w:rPr>
        <w:t xml:space="preserve"> the organisation back. 2</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Secondly, support organisations need to be aware of the implications of the barriers to the development of the organisations within the sector for them to effectively engage.  3</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Thirdly, the management and leadership role of the governing body that makes decisions for the organisations should be empowered. Part of the effective capacity building of the sector should include the provision of proper training to the governing body for the skills and knowledge they will need to support the transformation of their organisation to SE. Despite the willingness of the BME VCSOs to grow and develop through engaging in enterprising activities, their lack of understanding of SE and how one is established, as well as the benefit that this brings to their organisations, keeps hampering them. This is a clear indication of the lack of awareness and</w:t>
      </w:r>
      <w:r>
        <w:rPr>
          <w:rFonts w:ascii="Times New Roman" w:eastAsia="Times New Roman" w:hAnsi="Times New Roman" w:cs="Times New Roman"/>
          <w:sz w:val="23"/>
          <w:szCs w:val="23"/>
          <w:lang w:eastAsia="en-GB"/>
        </w:rPr>
        <w:t xml:space="preserve"> knowledge of SE highlighted in</w:t>
      </w:r>
      <w:r w:rsidRPr="00F363E1">
        <w:rPr>
          <w:rFonts w:ascii="Times New Roman" w:eastAsia="Times New Roman" w:hAnsi="Times New Roman" w:cs="Times New Roman"/>
          <w:sz w:val="23"/>
          <w:szCs w:val="23"/>
          <w:lang w:eastAsia="en-GB"/>
        </w:rPr>
        <w:t xml:space="preserve"> Table 1 earlier. 4</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Fourthly, a specific provision of basic awareness training or seminars  targeted only towards the BME VCSOs is useful for their appreciation of SE and the benefits that this brings them. Ther</w:t>
      </w:r>
      <w:r>
        <w:rPr>
          <w:rFonts w:ascii="Times New Roman" w:eastAsia="Times New Roman" w:hAnsi="Times New Roman" w:cs="Times New Roman"/>
          <w:sz w:val="23"/>
          <w:szCs w:val="23"/>
          <w:lang w:eastAsia="en-GB"/>
        </w:rPr>
        <w:t xml:space="preserve">e is also a lack of confidence </w:t>
      </w:r>
      <w:r w:rsidRPr="00F363E1">
        <w:rPr>
          <w:rFonts w:ascii="Times New Roman" w:eastAsia="Times New Roman" w:hAnsi="Times New Roman" w:cs="Times New Roman"/>
          <w:sz w:val="23"/>
          <w:szCs w:val="23"/>
          <w:lang w:eastAsia="en-GB"/>
        </w:rPr>
        <w:t>by the sector with the support provision that they are currently receiving  and evidence of a clear lack of trust and confidence of the mainstream  service providers. 5</w:t>
      </w:r>
      <w:r w:rsidRPr="00F363E1">
        <w:rPr>
          <w:rFonts w:ascii="Helvetica" w:eastAsia="Times New Roman" w:hAnsi="Helvetica" w:cs="Times New Roman"/>
          <w:sz w:val="23"/>
          <w:szCs w:val="23"/>
          <w:lang w:eastAsia="en-GB"/>
        </w:rPr>
        <w:t xml:space="preserve"> </w:t>
      </w:r>
      <w:r w:rsidRPr="00F363E1">
        <w:rPr>
          <w:rFonts w:ascii="Times New Roman" w:eastAsia="Times New Roman" w:hAnsi="Times New Roman" w:cs="Times New Roman"/>
          <w:sz w:val="23"/>
          <w:szCs w:val="23"/>
          <w:lang w:eastAsia="en-GB"/>
        </w:rPr>
        <w:t xml:space="preserve">Finally, to clear the growing stigma arising within the BME VCS sector,  service providers assisting the organisations within the sector should undergo cultural awareness and try to use plain English in their engagement. The key to the solution of effective engagement with the BME VCS organisations is the provision of an efficient capacity building programme taking into account the drivers and barriers to their transformation into SEs. It  follows,  therefore,  that  for  any  transformation  to  be  effective  and  any  engagement  to  be  meaningful,  sensitivity  towards  the  beneficiaries’  individual  needs  must  be  adhered.  This would also require a thorough assessment and analysis of these needs. Thankfully, business  support  is  already  provided  by  other  specialist  organisations  such  as  the    West  Yorkshire  Social  Enterprise  Link,  Rotherham  Social  Enterprise,  Barnsley  Social  Enterprise and Huddersfield Pride amongst others. </w:t>
      </w:r>
      <w:r w:rsidRPr="00F363E1">
        <w:rPr>
          <w:rFonts w:ascii="Times New Roman" w:eastAsia="Times New Roman" w:hAnsi="Times New Roman" w:cs="Times New Roman"/>
          <w:sz w:val="25"/>
          <w:szCs w:val="25"/>
          <w:lang w:eastAsia="en-GB"/>
        </w:rPr>
        <w:t>6</w:t>
      </w:r>
      <w:r w:rsidRPr="00F363E1">
        <w:rPr>
          <w:rFonts w:ascii="Helvetica" w:eastAsia="Times New Roman" w:hAnsi="Helvetica" w:cs="Times New Roman"/>
          <w:sz w:val="25"/>
          <w:szCs w:val="25"/>
          <w:lang w:eastAsia="en-GB"/>
        </w:rPr>
        <w:t xml:space="preserve"> </w:t>
      </w:r>
      <w:r w:rsidRPr="00F363E1">
        <w:rPr>
          <w:rFonts w:ascii="Times New Roman" w:eastAsia="Times New Roman" w:hAnsi="Times New Roman" w:cs="Times New Roman"/>
          <w:sz w:val="25"/>
          <w:szCs w:val="25"/>
          <w:lang w:eastAsia="en-GB"/>
        </w:rPr>
        <w:t xml:space="preserve">Implications </w:t>
      </w:r>
      <w:r w:rsidRPr="00F363E1">
        <w:rPr>
          <w:rFonts w:ascii="Times New Roman" w:eastAsia="Times New Roman" w:hAnsi="Times New Roman" w:cs="Times New Roman"/>
          <w:sz w:val="23"/>
          <w:szCs w:val="23"/>
          <w:lang w:eastAsia="en-GB"/>
        </w:rPr>
        <w:t>Our paper has a bearing on business, management, ethnic minority and capacity building issues, with about 300 questionnaires sent out to BME organisations in the Yorkshire and Humber Region, we have been able to pull out ‘real issues’ from the experiences of our key  informants  (the  end  users  –  the  BMEs),  unlike  what  may  be  obtainable  using  the  traditional academic research protocols. While we acknowledge that there has been some research  conducted  around  the  BME  engagement  in  the  region,  we  insist  that  this  is    the  first  real  attempt  to  be  specifically  focused  around  VCSOs  engagement  in  socially  entrepreneurial  activity  –  at  the  time  of  this  research.  Although  there  has  been  some    data  collected  at  sub</w:t>
      </w:r>
      <w:r>
        <w:rPr>
          <w:rFonts w:ascii="Times New Roman" w:eastAsia="Times New Roman" w:hAnsi="Times New Roman" w:cs="Times New Roman"/>
          <w:sz w:val="23"/>
          <w:szCs w:val="23"/>
          <w:lang w:eastAsia="en-GB"/>
        </w:rPr>
        <w:t>-</w:t>
      </w:r>
      <w:r w:rsidRPr="00F363E1">
        <w:rPr>
          <w:rFonts w:ascii="Times New Roman" w:eastAsia="Times New Roman" w:hAnsi="Times New Roman" w:cs="Times New Roman"/>
          <w:sz w:val="23"/>
          <w:szCs w:val="23"/>
          <w:lang w:eastAsia="en-GB"/>
        </w:rPr>
        <w:t xml:space="preserve">regional  and  district  levels  by  intermediaries  for  their  purposes    (such  as  Asian  Trades  Link),  none,  to  our  knowledge  and  inquiry,  has  been  conducted    at  the  regional  level  per  se.  This  on  its  own,  testifies  to  the  originality  of  our  paper.  However, like many others before this one, our paper is not immune from limitations. In  the  light  of  the  above,  one  limitation  of  our  paper  is  the  absence  of  the    requisite  infrastructure  for  mapping  out  existing  support  organisations  in  the  Yorkshire  and  Humber  Region  and  the  clarity  of  the  support  services  that  they  may  be  able  to    offer.  We  suggest,  nonetheless,  that  a  study  of  this  nature  is  important  in  providing  an  effective  option  for  the  engagement  of  the  support  agencies  in  the  capacity  building  of  the BME VCSOs intent on transforming to SEs. What would also be useful is a mapping exercise  of  all  BME  SEs  in  the  region  to  facilitate  the  formation  of  entrepreneurial  networks. Finally, whilst we may have made every effort to focus the research for our paper on the  needs  and  development  of  the  BME  VCSOs  in  the  UK  –  taken  from  the  Yorkshire  and  Humber  regional  perspective,  we  recognise  the  inevitability  of  having,  perhaps,  missed out on certain, likewise important, developments in the transformation of VCSOs into SEs. We therefore, suggest that due consideration be given to the prevalent lack of a pool  of  empirical  research  in  this  area,  which  would  undoubtedly  bring  about  a  more  focused level of discussions that would set the foundations for future research. </w:t>
      </w:r>
    </w:p>
    <w:p w:rsidR="00F363E1" w:rsidRDefault="00F363E1" w:rsidP="00F363E1">
      <w:pPr>
        <w:spacing w:after="0" w:line="240" w:lineRule="auto"/>
        <w:rPr>
          <w:rFonts w:ascii="Times New Roman" w:eastAsia="Times New Roman" w:hAnsi="Times New Roman" w:cs="Times New Roman"/>
          <w:sz w:val="23"/>
          <w:szCs w:val="23"/>
          <w:lang w:eastAsia="en-GB"/>
        </w:rPr>
      </w:pPr>
    </w:p>
    <w:p w:rsidR="00F363E1" w:rsidRDefault="00F363E1" w:rsidP="00F363E1">
      <w:pPr>
        <w:spacing w:after="0" w:line="240" w:lineRule="auto"/>
        <w:rPr>
          <w:rFonts w:ascii="Times New Roman" w:eastAsia="Times New Roman" w:hAnsi="Times New Roman" w:cs="Times New Roman"/>
          <w:sz w:val="23"/>
          <w:szCs w:val="23"/>
          <w:lang w:eastAsia="en-GB"/>
        </w:rPr>
      </w:pPr>
      <w:r w:rsidRPr="00F363E1">
        <w:rPr>
          <w:rFonts w:ascii="Times New Roman" w:eastAsia="Times New Roman" w:hAnsi="Times New Roman" w:cs="Times New Roman"/>
          <w:sz w:val="25"/>
          <w:szCs w:val="25"/>
          <w:lang w:eastAsia="en-GB"/>
        </w:rPr>
        <w:t xml:space="preserve">Acknowledgements </w:t>
      </w:r>
      <w:r w:rsidRPr="00F363E1">
        <w:rPr>
          <w:rFonts w:ascii="Times New Roman" w:eastAsia="Times New Roman" w:hAnsi="Times New Roman" w:cs="Times New Roman"/>
          <w:sz w:val="23"/>
          <w:szCs w:val="23"/>
          <w:lang w:eastAsia="en-GB"/>
        </w:rPr>
        <w:t xml:space="preserve">An earlier version of this paper was presented at the 29th Institute of Small Business and Entrepreneurship (ISBE) Conference in Blackpool, UK in November 2005. </w:t>
      </w:r>
    </w:p>
    <w:p w:rsidR="00F363E1" w:rsidRDefault="00F363E1" w:rsidP="00F363E1">
      <w:pPr>
        <w:spacing w:after="0" w:line="240" w:lineRule="auto"/>
        <w:rPr>
          <w:rFonts w:ascii="Times New Roman" w:eastAsia="Times New Roman" w:hAnsi="Times New Roman" w:cs="Times New Roman"/>
          <w:sz w:val="23"/>
          <w:szCs w:val="23"/>
          <w:lang w:eastAsia="en-GB"/>
        </w:rPr>
      </w:pPr>
    </w:p>
    <w:p w:rsidR="00F363E1" w:rsidRPr="00D2557A" w:rsidRDefault="00F363E1" w:rsidP="00F363E1">
      <w:pPr>
        <w:rPr>
          <w:rFonts w:cstheme="minorHAnsi"/>
          <w:sz w:val="24"/>
          <w:szCs w:val="24"/>
          <w:shd w:val="clear" w:color="auto" w:fill="FFFFFF"/>
        </w:rPr>
      </w:pPr>
    </w:p>
    <w:sectPr w:rsidR="00F363E1" w:rsidRPr="00D255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mp;quot">
    <w:altName w:val="Times New Roman"/>
    <w:panose1 w:val="020B0604020202020204"/>
    <w:charset w:val="00"/>
    <w:family w:val="roman"/>
    <w:notTrueType/>
    <w:pitch w:val="default"/>
  </w:font>
  <w:font w:name="inherit">
    <w:altName w:val="Times New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B8612A"/>
    <w:multiLevelType w:val="multilevel"/>
    <w:tmpl w:val="A634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57A"/>
    <w:rsid w:val="00797575"/>
    <w:rsid w:val="00CD12C0"/>
    <w:rsid w:val="00D2557A"/>
    <w:rsid w:val="00F363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D554FD-E297-4249-9DFB-0943BD96A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255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005838">
      <w:bodyDiv w:val="1"/>
      <w:marLeft w:val="0"/>
      <w:marRight w:val="0"/>
      <w:marTop w:val="0"/>
      <w:marBottom w:val="0"/>
      <w:divBdr>
        <w:top w:val="none" w:sz="0" w:space="0" w:color="auto"/>
        <w:left w:val="none" w:sz="0" w:space="0" w:color="auto"/>
        <w:bottom w:val="none" w:sz="0" w:space="0" w:color="auto"/>
        <w:right w:val="none" w:sz="0" w:space="0" w:color="auto"/>
      </w:divBdr>
    </w:div>
    <w:div w:id="1063141458">
      <w:bodyDiv w:val="1"/>
      <w:marLeft w:val="0"/>
      <w:marRight w:val="0"/>
      <w:marTop w:val="0"/>
      <w:marBottom w:val="0"/>
      <w:divBdr>
        <w:top w:val="none" w:sz="0" w:space="0" w:color="auto"/>
        <w:left w:val="none" w:sz="0" w:space="0" w:color="auto"/>
        <w:bottom w:val="none" w:sz="0" w:space="0" w:color="auto"/>
        <w:right w:val="none" w:sz="0" w:space="0" w:color="auto"/>
      </w:divBdr>
      <w:divsChild>
        <w:div w:id="2036348242">
          <w:marLeft w:val="0"/>
          <w:marRight w:val="0"/>
          <w:marTop w:val="0"/>
          <w:marBottom w:val="0"/>
          <w:divBdr>
            <w:top w:val="none" w:sz="0" w:space="0" w:color="auto"/>
            <w:left w:val="none" w:sz="0" w:space="0" w:color="auto"/>
            <w:bottom w:val="none" w:sz="0" w:space="0" w:color="auto"/>
            <w:right w:val="none" w:sz="0" w:space="0" w:color="auto"/>
          </w:divBdr>
          <w:divsChild>
            <w:div w:id="870462173">
              <w:marLeft w:val="0"/>
              <w:marRight w:val="0"/>
              <w:marTop w:val="0"/>
              <w:marBottom w:val="0"/>
              <w:divBdr>
                <w:top w:val="none" w:sz="0" w:space="0" w:color="auto"/>
                <w:left w:val="none" w:sz="0" w:space="0" w:color="auto"/>
                <w:bottom w:val="none" w:sz="0" w:space="0" w:color="auto"/>
                <w:right w:val="none" w:sz="0" w:space="0" w:color="auto"/>
              </w:divBdr>
              <w:divsChild>
                <w:div w:id="159472344">
                  <w:marLeft w:val="0"/>
                  <w:marRight w:val="0"/>
                  <w:marTop w:val="0"/>
                  <w:marBottom w:val="0"/>
                  <w:divBdr>
                    <w:top w:val="none" w:sz="0" w:space="0" w:color="auto"/>
                    <w:left w:val="none" w:sz="0" w:space="0" w:color="auto"/>
                    <w:bottom w:val="none" w:sz="0" w:space="0" w:color="auto"/>
                    <w:right w:val="none" w:sz="0" w:space="0" w:color="auto"/>
                  </w:divBdr>
                </w:div>
              </w:divsChild>
            </w:div>
            <w:div w:id="512888025">
              <w:marLeft w:val="0"/>
              <w:marRight w:val="0"/>
              <w:marTop w:val="0"/>
              <w:marBottom w:val="0"/>
              <w:divBdr>
                <w:top w:val="none" w:sz="0" w:space="0" w:color="auto"/>
                <w:left w:val="none" w:sz="0" w:space="0" w:color="auto"/>
                <w:bottom w:val="none" w:sz="0" w:space="0" w:color="auto"/>
                <w:right w:val="none" w:sz="0" w:space="0" w:color="auto"/>
              </w:divBdr>
              <w:divsChild>
                <w:div w:id="173114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03107">
          <w:marLeft w:val="0"/>
          <w:marRight w:val="0"/>
          <w:marTop w:val="0"/>
          <w:marBottom w:val="0"/>
          <w:divBdr>
            <w:top w:val="none" w:sz="0" w:space="0" w:color="auto"/>
            <w:left w:val="none" w:sz="0" w:space="0" w:color="auto"/>
            <w:bottom w:val="none" w:sz="0" w:space="0" w:color="auto"/>
            <w:right w:val="none" w:sz="0" w:space="0" w:color="auto"/>
          </w:divBdr>
          <w:divsChild>
            <w:div w:id="955407956">
              <w:marLeft w:val="0"/>
              <w:marRight w:val="0"/>
              <w:marTop w:val="0"/>
              <w:marBottom w:val="0"/>
              <w:divBdr>
                <w:top w:val="none" w:sz="0" w:space="0" w:color="auto"/>
                <w:left w:val="none" w:sz="0" w:space="0" w:color="auto"/>
                <w:bottom w:val="none" w:sz="0" w:space="0" w:color="auto"/>
                <w:right w:val="none" w:sz="0" w:space="0" w:color="auto"/>
              </w:divBdr>
              <w:divsChild>
                <w:div w:id="692540029">
                  <w:marLeft w:val="0"/>
                  <w:marRight w:val="0"/>
                  <w:marTop w:val="0"/>
                  <w:marBottom w:val="0"/>
                  <w:divBdr>
                    <w:top w:val="none" w:sz="0" w:space="0" w:color="auto"/>
                    <w:left w:val="none" w:sz="0" w:space="0" w:color="auto"/>
                    <w:bottom w:val="none" w:sz="0" w:space="0" w:color="auto"/>
                    <w:right w:val="none" w:sz="0" w:space="0" w:color="auto"/>
                  </w:divBdr>
                </w:div>
              </w:divsChild>
            </w:div>
            <w:div w:id="2085451658">
              <w:marLeft w:val="0"/>
              <w:marRight w:val="0"/>
              <w:marTop w:val="0"/>
              <w:marBottom w:val="0"/>
              <w:divBdr>
                <w:top w:val="none" w:sz="0" w:space="0" w:color="auto"/>
                <w:left w:val="none" w:sz="0" w:space="0" w:color="auto"/>
                <w:bottom w:val="none" w:sz="0" w:space="0" w:color="auto"/>
                <w:right w:val="none" w:sz="0" w:space="0" w:color="auto"/>
              </w:divBdr>
              <w:divsChild>
                <w:div w:id="150335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96979">
          <w:marLeft w:val="0"/>
          <w:marRight w:val="0"/>
          <w:marTop w:val="0"/>
          <w:marBottom w:val="0"/>
          <w:divBdr>
            <w:top w:val="none" w:sz="0" w:space="0" w:color="auto"/>
            <w:left w:val="none" w:sz="0" w:space="0" w:color="auto"/>
            <w:bottom w:val="none" w:sz="0" w:space="0" w:color="auto"/>
            <w:right w:val="none" w:sz="0" w:space="0" w:color="auto"/>
          </w:divBdr>
          <w:divsChild>
            <w:div w:id="1982421825">
              <w:marLeft w:val="0"/>
              <w:marRight w:val="0"/>
              <w:marTop w:val="0"/>
              <w:marBottom w:val="0"/>
              <w:divBdr>
                <w:top w:val="none" w:sz="0" w:space="0" w:color="auto"/>
                <w:left w:val="none" w:sz="0" w:space="0" w:color="auto"/>
                <w:bottom w:val="none" w:sz="0" w:space="0" w:color="auto"/>
                <w:right w:val="none" w:sz="0" w:space="0" w:color="auto"/>
              </w:divBdr>
              <w:divsChild>
                <w:div w:id="716969882">
                  <w:marLeft w:val="0"/>
                  <w:marRight w:val="0"/>
                  <w:marTop w:val="0"/>
                  <w:marBottom w:val="0"/>
                  <w:divBdr>
                    <w:top w:val="none" w:sz="0" w:space="0" w:color="auto"/>
                    <w:left w:val="none" w:sz="0" w:space="0" w:color="auto"/>
                    <w:bottom w:val="none" w:sz="0" w:space="0" w:color="auto"/>
                    <w:right w:val="none" w:sz="0" w:space="0" w:color="auto"/>
                  </w:divBdr>
                </w:div>
              </w:divsChild>
            </w:div>
            <w:div w:id="1774937852">
              <w:marLeft w:val="0"/>
              <w:marRight w:val="0"/>
              <w:marTop w:val="0"/>
              <w:marBottom w:val="0"/>
              <w:divBdr>
                <w:top w:val="none" w:sz="0" w:space="0" w:color="auto"/>
                <w:left w:val="none" w:sz="0" w:space="0" w:color="auto"/>
                <w:bottom w:val="none" w:sz="0" w:space="0" w:color="auto"/>
                <w:right w:val="none" w:sz="0" w:space="0" w:color="auto"/>
              </w:divBdr>
              <w:divsChild>
                <w:div w:id="195390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431743">
          <w:marLeft w:val="0"/>
          <w:marRight w:val="0"/>
          <w:marTop w:val="0"/>
          <w:marBottom w:val="0"/>
          <w:divBdr>
            <w:top w:val="none" w:sz="0" w:space="0" w:color="auto"/>
            <w:left w:val="none" w:sz="0" w:space="0" w:color="auto"/>
            <w:bottom w:val="none" w:sz="0" w:space="0" w:color="auto"/>
            <w:right w:val="none" w:sz="0" w:space="0" w:color="auto"/>
          </w:divBdr>
          <w:divsChild>
            <w:div w:id="1319655099">
              <w:marLeft w:val="0"/>
              <w:marRight w:val="0"/>
              <w:marTop w:val="0"/>
              <w:marBottom w:val="0"/>
              <w:divBdr>
                <w:top w:val="none" w:sz="0" w:space="0" w:color="auto"/>
                <w:left w:val="none" w:sz="0" w:space="0" w:color="auto"/>
                <w:bottom w:val="none" w:sz="0" w:space="0" w:color="auto"/>
                <w:right w:val="none" w:sz="0" w:space="0" w:color="auto"/>
              </w:divBdr>
              <w:divsChild>
                <w:div w:id="1479882307">
                  <w:marLeft w:val="0"/>
                  <w:marRight w:val="0"/>
                  <w:marTop w:val="0"/>
                  <w:marBottom w:val="0"/>
                  <w:divBdr>
                    <w:top w:val="none" w:sz="0" w:space="0" w:color="auto"/>
                    <w:left w:val="none" w:sz="0" w:space="0" w:color="auto"/>
                    <w:bottom w:val="none" w:sz="0" w:space="0" w:color="auto"/>
                    <w:right w:val="none" w:sz="0" w:space="0" w:color="auto"/>
                  </w:divBdr>
                </w:div>
              </w:divsChild>
            </w:div>
            <w:div w:id="420301924">
              <w:marLeft w:val="0"/>
              <w:marRight w:val="0"/>
              <w:marTop w:val="0"/>
              <w:marBottom w:val="0"/>
              <w:divBdr>
                <w:top w:val="none" w:sz="0" w:space="0" w:color="auto"/>
                <w:left w:val="none" w:sz="0" w:space="0" w:color="auto"/>
                <w:bottom w:val="none" w:sz="0" w:space="0" w:color="auto"/>
                <w:right w:val="none" w:sz="0" w:space="0" w:color="auto"/>
              </w:divBdr>
              <w:divsChild>
                <w:div w:id="19434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83555">
          <w:marLeft w:val="0"/>
          <w:marRight w:val="0"/>
          <w:marTop w:val="0"/>
          <w:marBottom w:val="0"/>
          <w:divBdr>
            <w:top w:val="none" w:sz="0" w:space="0" w:color="auto"/>
            <w:left w:val="none" w:sz="0" w:space="0" w:color="auto"/>
            <w:bottom w:val="none" w:sz="0" w:space="0" w:color="auto"/>
            <w:right w:val="none" w:sz="0" w:space="0" w:color="auto"/>
          </w:divBdr>
          <w:divsChild>
            <w:div w:id="1990354731">
              <w:marLeft w:val="0"/>
              <w:marRight w:val="0"/>
              <w:marTop w:val="0"/>
              <w:marBottom w:val="0"/>
              <w:divBdr>
                <w:top w:val="none" w:sz="0" w:space="0" w:color="auto"/>
                <w:left w:val="none" w:sz="0" w:space="0" w:color="auto"/>
                <w:bottom w:val="none" w:sz="0" w:space="0" w:color="auto"/>
                <w:right w:val="none" w:sz="0" w:space="0" w:color="auto"/>
              </w:divBdr>
              <w:divsChild>
                <w:div w:id="748430135">
                  <w:marLeft w:val="0"/>
                  <w:marRight w:val="0"/>
                  <w:marTop w:val="0"/>
                  <w:marBottom w:val="0"/>
                  <w:divBdr>
                    <w:top w:val="none" w:sz="0" w:space="0" w:color="auto"/>
                    <w:left w:val="none" w:sz="0" w:space="0" w:color="auto"/>
                    <w:bottom w:val="none" w:sz="0" w:space="0" w:color="auto"/>
                    <w:right w:val="none" w:sz="0" w:space="0" w:color="auto"/>
                  </w:divBdr>
                </w:div>
              </w:divsChild>
            </w:div>
            <w:div w:id="502551684">
              <w:marLeft w:val="0"/>
              <w:marRight w:val="0"/>
              <w:marTop w:val="0"/>
              <w:marBottom w:val="0"/>
              <w:divBdr>
                <w:top w:val="none" w:sz="0" w:space="0" w:color="auto"/>
                <w:left w:val="none" w:sz="0" w:space="0" w:color="auto"/>
                <w:bottom w:val="none" w:sz="0" w:space="0" w:color="auto"/>
                <w:right w:val="none" w:sz="0" w:space="0" w:color="auto"/>
              </w:divBdr>
              <w:divsChild>
                <w:div w:id="11306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793023">
          <w:marLeft w:val="0"/>
          <w:marRight w:val="0"/>
          <w:marTop w:val="0"/>
          <w:marBottom w:val="0"/>
          <w:divBdr>
            <w:top w:val="none" w:sz="0" w:space="0" w:color="auto"/>
            <w:left w:val="none" w:sz="0" w:space="0" w:color="auto"/>
            <w:bottom w:val="none" w:sz="0" w:space="0" w:color="auto"/>
            <w:right w:val="none" w:sz="0" w:space="0" w:color="auto"/>
          </w:divBdr>
          <w:divsChild>
            <w:div w:id="386152018">
              <w:marLeft w:val="0"/>
              <w:marRight w:val="0"/>
              <w:marTop w:val="0"/>
              <w:marBottom w:val="0"/>
              <w:divBdr>
                <w:top w:val="none" w:sz="0" w:space="0" w:color="auto"/>
                <w:left w:val="none" w:sz="0" w:space="0" w:color="auto"/>
                <w:bottom w:val="none" w:sz="0" w:space="0" w:color="auto"/>
                <w:right w:val="none" w:sz="0" w:space="0" w:color="auto"/>
              </w:divBdr>
              <w:divsChild>
                <w:div w:id="895237311">
                  <w:marLeft w:val="0"/>
                  <w:marRight w:val="0"/>
                  <w:marTop w:val="0"/>
                  <w:marBottom w:val="0"/>
                  <w:divBdr>
                    <w:top w:val="none" w:sz="0" w:space="0" w:color="auto"/>
                    <w:left w:val="none" w:sz="0" w:space="0" w:color="auto"/>
                    <w:bottom w:val="none" w:sz="0" w:space="0" w:color="auto"/>
                    <w:right w:val="none" w:sz="0" w:space="0" w:color="auto"/>
                  </w:divBdr>
                </w:div>
              </w:divsChild>
            </w:div>
            <w:div w:id="591367">
              <w:marLeft w:val="0"/>
              <w:marRight w:val="0"/>
              <w:marTop w:val="0"/>
              <w:marBottom w:val="0"/>
              <w:divBdr>
                <w:top w:val="none" w:sz="0" w:space="0" w:color="auto"/>
                <w:left w:val="none" w:sz="0" w:space="0" w:color="auto"/>
                <w:bottom w:val="none" w:sz="0" w:space="0" w:color="auto"/>
                <w:right w:val="none" w:sz="0" w:space="0" w:color="auto"/>
              </w:divBdr>
              <w:divsChild>
                <w:div w:id="186837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17185">
          <w:marLeft w:val="0"/>
          <w:marRight w:val="0"/>
          <w:marTop w:val="0"/>
          <w:marBottom w:val="0"/>
          <w:divBdr>
            <w:top w:val="none" w:sz="0" w:space="0" w:color="auto"/>
            <w:left w:val="none" w:sz="0" w:space="0" w:color="auto"/>
            <w:bottom w:val="none" w:sz="0" w:space="0" w:color="auto"/>
            <w:right w:val="none" w:sz="0" w:space="0" w:color="auto"/>
          </w:divBdr>
          <w:divsChild>
            <w:div w:id="2033990526">
              <w:marLeft w:val="0"/>
              <w:marRight w:val="0"/>
              <w:marTop w:val="0"/>
              <w:marBottom w:val="0"/>
              <w:divBdr>
                <w:top w:val="none" w:sz="0" w:space="0" w:color="auto"/>
                <w:left w:val="none" w:sz="0" w:space="0" w:color="auto"/>
                <w:bottom w:val="none" w:sz="0" w:space="0" w:color="auto"/>
                <w:right w:val="none" w:sz="0" w:space="0" w:color="auto"/>
              </w:divBdr>
              <w:divsChild>
                <w:div w:id="1696537692">
                  <w:marLeft w:val="0"/>
                  <w:marRight w:val="0"/>
                  <w:marTop w:val="0"/>
                  <w:marBottom w:val="0"/>
                  <w:divBdr>
                    <w:top w:val="none" w:sz="0" w:space="0" w:color="auto"/>
                    <w:left w:val="none" w:sz="0" w:space="0" w:color="auto"/>
                    <w:bottom w:val="none" w:sz="0" w:space="0" w:color="auto"/>
                    <w:right w:val="none" w:sz="0" w:space="0" w:color="auto"/>
                  </w:divBdr>
                </w:div>
              </w:divsChild>
            </w:div>
            <w:div w:id="2106991809">
              <w:marLeft w:val="0"/>
              <w:marRight w:val="0"/>
              <w:marTop w:val="0"/>
              <w:marBottom w:val="0"/>
              <w:divBdr>
                <w:top w:val="none" w:sz="0" w:space="0" w:color="auto"/>
                <w:left w:val="none" w:sz="0" w:space="0" w:color="auto"/>
                <w:bottom w:val="none" w:sz="0" w:space="0" w:color="auto"/>
                <w:right w:val="none" w:sz="0" w:space="0" w:color="auto"/>
              </w:divBdr>
              <w:divsChild>
                <w:div w:id="189287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3114">
          <w:marLeft w:val="0"/>
          <w:marRight w:val="0"/>
          <w:marTop w:val="0"/>
          <w:marBottom w:val="0"/>
          <w:divBdr>
            <w:top w:val="none" w:sz="0" w:space="0" w:color="auto"/>
            <w:left w:val="none" w:sz="0" w:space="0" w:color="auto"/>
            <w:bottom w:val="none" w:sz="0" w:space="0" w:color="auto"/>
            <w:right w:val="none" w:sz="0" w:space="0" w:color="auto"/>
          </w:divBdr>
          <w:divsChild>
            <w:div w:id="561864147">
              <w:marLeft w:val="0"/>
              <w:marRight w:val="0"/>
              <w:marTop w:val="0"/>
              <w:marBottom w:val="0"/>
              <w:divBdr>
                <w:top w:val="none" w:sz="0" w:space="0" w:color="auto"/>
                <w:left w:val="none" w:sz="0" w:space="0" w:color="auto"/>
                <w:bottom w:val="none" w:sz="0" w:space="0" w:color="auto"/>
                <w:right w:val="none" w:sz="0" w:space="0" w:color="auto"/>
              </w:divBdr>
              <w:divsChild>
                <w:div w:id="1409615540">
                  <w:marLeft w:val="0"/>
                  <w:marRight w:val="0"/>
                  <w:marTop w:val="0"/>
                  <w:marBottom w:val="0"/>
                  <w:divBdr>
                    <w:top w:val="none" w:sz="0" w:space="0" w:color="auto"/>
                    <w:left w:val="none" w:sz="0" w:space="0" w:color="auto"/>
                    <w:bottom w:val="none" w:sz="0" w:space="0" w:color="auto"/>
                    <w:right w:val="none" w:sz="0" w:space="0" w:color="auto"/>
                  </w:divBdr>
                </w:div>
              </w:divsChild>
            </w:div>
            <w:div w:id="1893534945">
              <w:marLeft w:val="0"/>
              <w:marRight w:val="0"/>
              <w:marTop w:val="0"/>
              <w:marBottom w:val="0"/>
              <w:divBdr>
                <w:top w:val="none" w:sz="0" w:space="0" w:color="auto"/>
                <w:left w:val="none" w:sz="0" w:space="0" w:color="auto"/>
                <w:bottom w:val="none" w:sz="0" w:space="0" w:color="auto"/>
                <w:right w:val="none" w:sz="0" w:space="0" w:color="auto"/>
              </w:divBdr>
              <w:divsChild>
                <w:div w:id="45915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358200">
          <w:marLeft w:val="0"/>
          <w:marRight w:val="0"/>
          <w:marTop w:val="0"/>
          <w:marBottom w:val="0"/>
          <w:divBdr>
            <w:top w:val="none" w:sz="0" w:space="0" w:color="auto"/>
            <w:left w:val="none" w:sz="0" w:space="0" w:color="auto"/>
            <w:bottom w:val="none" w:sz="0" w:space="0" w:color="auto"/>
            <w:right w:val="none" w:sz="0" w:space="0" w:color="auto"/>
          </w:divBdr>
          <w:divsChild>
            <w:div w:id="98451485">
              <w:marLeft w:val="0"/>
              <w:marRight w:val="0"/>
              <w:marTop w:val="0"/>
              <w:marBottom w:val="0"/>
              <w:divBdr>
                <w:top w:val="none" w:sz="0" w:space="0" w:color="auto"/>
                <w:left w:val="none" w:sz="0" w:space="0" w:color="auto"/>
                <w:bottom w:val="none" w:sz="0" w:space="0" w:color="auto"/>
                <w:right w:val="none" w:sz="0" w:space="0" w:color="auto"/>
              </w:divBdr>
              <w:divsChild>
                <w:div w:id="525558030">
                  <w:marLeft w:val="0"/>
                  <w:marRight w:val="0"/>
                  <w:marTop w:val="0"/>
                  <w:marBottom w:val="0"/>
                  <w:divBdr>
                    <w:top w:val="none" w:sz="0" w:space="0" w:color="auto"/>
                    <w:left w:val="none" w:sz="0" w:space="0" w:color="auto"/>
                    <w:bottom w:val="none" w:sz="0" w:space="0" w:color="auto"/>
                    <w:right w:val="none" w:sz="0" w:space="0" w:color="auto"/>
                  </w:divBdr>
                </w:div>
              </w:divsChild>
            </w:div>
            <w:div w:id="2127307951">
              <w:marLeft w:val="0"/>
              <w:marRight w:val="0"/>
              <w:marTop w:val="0"/>
              <w:marBottom w:val="0"/>
              <w:divBdr>
                <w:top w:val="none" w:sz="0" w:space="0" w:color="auto"/>
                <w:left w:val="none" w:sz="0" w:space="0" w:color="auto"/>
                <w:bottom w:val="none" w:sz="0" w:space="0" w:color="auto"/>
                <w:right w:val="none" w:sz="0" w:space="0" w:color="auto"/>
              </w:divBdr>
              <w:divsChild>
                <w:div w:id="58376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958">
          <w:marLeft w:val="0"/>
          <w:marRight w:val="0"/>
          <w:marTop w:val="0"/>
          <w:marBottom w:val="0"/>
          <w:divBdr>
            <w:top w:val="none" w:sz="0" w:space="0" w:color="auto"/>
            <w:left w:val="none" w:sz="0" w:space="0" w:color="auto"/>
            <w:bottom w:val="none" w:sz="0" w:space="0" w:color="auto"/>
            <w:right w:val="none" w:sz="0" w:space="0" w:color="auto"/>
          </w:divBdr>
          <w:divsChild>
            <w:div w:id="492334797">
              <w:marLeft w:val="0"/>
              <w:marRight w:val="0"/>
              <w:marTop w:val="0"/>
              <w:marBottom w:val="0"/>
              <w:divBdr>
                <w:top w:val="none" w:sz="0" w:space="0" w:color="auto"/>
                <w:left w:val="none" w:sz="0" w:space="0" w:color="auto"/>
                <w:bottom w:val="none" w:sz="0" w:space="0" w:color="auto"/>
                <w:right w:val="none" w:sz="0" w:space="0" w:color="auto"/>
              </w:divBdr>
              <w:divsChild>
                <w:div w:id="1329017920">
                  <w:marLeft w:val="0"/>
                  <w:marRight w:val="0"/>
                  <w:marTop w:val="0"/>
                  <w:marBottom w:val="0"/>
                  <w:divBdr>
                    <w:top w:val="none" w:sz="0" w:space="0" w:color="auto"/>
                    <w:left w:val="none" w:sz="0" w:space="0" w:color="auto"/>
                    <w:bottom w:val="none" w:sz="0" w:space="0" w:color="auto"/>
                    <w:right w:val="none" w:sz="0" w:space="0" w:color="auto"/>
                  </w:divBdr>
                </w:div>
              </w:divsChild>
            </w:div>
            <w:div w:id="85618263">
              <w:marLeft w:val="0"/>
              <w:marRight w:val="0"/>
              <w:marTop w:val="0"/>
              <w:marBottom w:val="0"/>
              <w:divBdr>
                <w:top w:val="none" w:sz="0" w:space="0" w:color="auto"/>
                <w:left w:val="none" w:sz="0" w:space="0" w:color="auto"/>
                <w:bottom w:val="none" w:sz="0" w:space="0" w:color="auto"/>
                <w:right w:val="none" w:sz="0" w:space="0" w:color="auto"/>
              </w:divBdr>
              <w:divsChild>
                <w:div w:id="143513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037503">
          <w:marLeft w:val="0"/>
          <w:marRight w:val="0"/>
          <w:marTop w:val="0"/>
          <w:marBottom w:val="0"/>
          <w:divBdr>
            <w:top w:val="none" w:sz="0" w:space="0" w:color="auto"/>
            <w:left w:val="none" w:sz="0" w:space="0" w:color="auto"/>
            <w:bottom w:val="none" w:sz="0" w:space="0" w:color="auto"/>
            <w:right w:val="none" w:sz="0" w:space="0" w:color="auto"/>
          </w:divBdr>
          <w:divsChild>
            <w:div w:id="721639158">
              <w:marLeft w:val="0"/>
              <w:marRight w:val="0"/>
              <w:marTop w:val="0"/>
              <w:marBottom w:val="0"/>
              <w:divBdr>
                <w:top w:val="none" w:sz="0" w:space="0" w:color="auto"/>
                <w:left w:val="none" w:sz="0" w:space="0" w:color="auto"/>
                <w:bottom w:val="none" w:sz="0" w:space="0" w:color="auto"/>
                <w:right w:val="none" w:sz="0" w:space="0" w:color="auto"/>
              </w:divBdr>
              <w:divsChild>
                <w:div w:id="1494567132">
                  <w:marLeft w:val="0"/>
                  <w:marRight w:val="0"/>
                  <w:marTop w:val="0"/>
                  <w:marBottom w:val="0"/>
                  <w:divBdr>
                    <w:top w:val="none" w:sz="0" w:space="0" w:color="auto"/>
                    <w:left w:val="none" w:sz="0" w:space="0" w:color="auto"/>
                    <w:bottom w:val="none" w:sz="0" w:space="0" w:color="auto"/>
                    <w:right w:val="none" w:sz="0" w:space="0" w:color="auto"/>
                  </w:divBdr>
                </w:div>
              </w:divsChild>
            </w:div>
            <w:div w:id="695733571">
              <w:marLeft w:val="0"/>
              <w:marRight w:val="0"/>
              <w:marTop w:val="0"/>
              <w:marBottom w:val="0"/>
              <w:divBdr>
                <w:top w:val="none" w:sz="0" w:space="0" w:color="auto"/>
                <w:left w:val="none" w:sz="0" w:space="0" w:color="auto"/>
                <w:bottom w:val="none" w:sz="0" w:space="0" w:color="auto"/>
                <w:right w:val="none" w:sz="0" w:space="0" w:color="auto"/>
              </w:divBdr>
              <w:divsChild>
                <w:div w:id="124965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6182">
          <w:marLeft w:val="0"/>
          <w:marRight w:val="0"/>
          <w:marTop w:val="0"/>
          <w:marBottom w:val="0"/>
          <w:divBdr>
            <w:top w:val="none" w:sz="0" w:space="0" w:color="auto"/>
            <w:left w:val="none" w:sz="0" w:space="0" w:color="auto"/>
            <w:bottom w:val="none" w:sz="0" w:space="0" w:color="auto"/>
            <w:right w:val="none" w:sz="0" w:space="0" w:color="auto"/>
          </w:divBdr>
          <w:divsChild>
            <w:div w:id="490876708">
              <w:marLeft w:val="0"/>
              <w:marRight w:val="0"/>
              <w:marTop w:val="0"/>
              <w:marBottom w:val="0"/>
              <w:divBdr>
                <w:top w:val="none" w:sz="0" w:space="0" w:color="auto"/>
                <w:left w:val="none" w:sz="0" w:space="0" w:color="auto"/>
                <w:bottom w:val="none" w:sz="0" w:space="0" w:color="auto"/>
                <w:right w:val="none" w:sz="0" w:space="0" w:color="auto"/>
              </w:divBdr>
              <w:divsChild>
                <w:div w:id="93596032">
                  <w:marLeft w:val="0"/>
                  <w:marRight w:val="0"/>
                  <w:marTop w:val="0"/>
                  <w:marBottom w:val="0"/>
                  <w:divBdr>
                    <w:top w:val="none" w:sz="0" w:space="0" w:color="auto"/>
                    <w:left w:val="none" w:sz="0" w:space="0" w:color="auto"/>
                    <w:bottom w:val="none" w:sz="0" w:space="0" w:color="auto"/>
                    <w:right w:val="none" w:sz="0" w:space="0" w:color="auto"/>
                  </w:divBdr>
                </w:div>
              </w:divsChild>
            </w:div>
            <w:div w:id="1577859991">
              <w:marLeft w:val="0"/>
              <w:marRight w:val="0"/>
              <w:marTop w:val="0"/>
              <w:marBottom w:val="0"/>
              <w:divBdr>
                <w:top w:val="none" w:sz="0" w:space="0" w:color="auto"/>
                <w:left w:val="none" w:sz="0" w:space="0" w:color="auto"/>
                <w:bottom w:val="none" w:sz="0" w:space="0" w:color="auto"/>
                <w:right w:val="none" w:sz="0" w:space="0" w:color="auto"/>
              </w:divBdr>
              <w:divsChild>
                <w:div w:id="29479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249739">
          <w:marLeft w:val="0"/>
          <w:marRight w:val="0"/>
          <w:marTop w:val="0"/>
          <w:marBottom w:val="0"/>
          <w:divBdr>
            <w:top w:val="none" w:sz="0" w:space="0" w:color="auto"/>
            <w:left w:val="none" w:sz="0" w:space="0" w:color="auto"/>
            <w:bottom w:val="none" w:sz="0" w:space="0" w:color="auto"/>
            <w:right w:val="none" w:sz="0" w:space="0" w:color="auto"/>
          </w:divBdr>
          <w:divsChild>
            <w:div w:id="39059524">
              <w:marLeft w:val="0"/>
              <w:marRight w:val="0"/>
              <w:marTop w:val="0"/>
              <w:marBottom w:val="0"/>
              <w:divBdr>
                <w:top w:val="none" w:sz="0" w:space="0" w:color="auto"/>
                <w:left w:val="none" w:sz="0" w:space="0" w:color="auto"/>
                <w:bottom w:val="none" w:sz="0" w:space="0" w:color="auto"/>
                <w:right w:val="none" w:sz="0" w:space="0" w:color="auto"/>
              </w:divBdr>
              <w:divsChild>
                <w:div w:id="858854278">
                  <w:marLeft w:val="0"/>
                  <w:marRight w:val="0"/>
                  <w:marTop w:val="0"/>
                  <w:marBottom w:val="0"/>
                  <w:divBdr>
                    <w:top w:val="none" w:sz="0" w:space="0" w:color="auto"/>
                    <w:left w:val="none" w:sz="0" w:space="0" w:color="auto"/>
                    <w:bottom w:val="none" w:sz="0" w:space="0" w:color="auto"/>
                    <w:right w:val="none" w:sz="0" w:space="0" w:color="auto"/>
                  </w:divBdr>
                </w:div>
              </w:divsChild>
            </w:div>
            <w:div w:id="1854294178">
              <w:marLeft w:val="0"/>
              <w:marRight w:val="0"/>
              <w:marTop w:val="0"/>
              <w:marBottom w:val="0"/>
              <w:divBdr>
                <w:top w:val="none" w:sz="0" w:space="0" w:color="auto"/>
                <w:left w:val="none" w:sz="0" w:space="0" w:color="auto"/>
                <w:bottom w:val="none" w:sz="0" w:space="0" w:color="auto"/>
                <w:right w:val="none" w:sz="0" w:space="0" w:color="auto"/>
              </w:divBdr>
              <w:divsChild>
                <w:div w:id="9042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2380">
          <w:marLeft w:val="0"/>
          <w:marRight w:val="0"/>
          <w:marTop w:val="0"/>
          <w:marBottom w:val="0"/>
          <w:divBdr>
            <w:top w:val="none" w:sz="0" w:space="0" w:color="auto"/>
            <w:left w:val="none" w:sz="0" w:space="0" w:color="auto"/>
            <w:bottom w:val="none" w:sz="0" w:space="0" w:color="auto"/>
            <w:right w:val="none" w:sz="0" w:space="0" w:color="auto"/>
          </w:divBdr>
          <w:divsChild>
            <w:div w:id="1290209160">
              <w:marLeft w:val="0"/>
              <w:marRight w:val="0"/>
              <w:marTop w:val="0"/>
              <w:marBottom w:val="0"/>
              <w:divBdr>
                <w:top w:val="none" w:sz="0" w:space="0" w:color="auto"/>
                <w:left w:val="none" w:sz="0" w:space="0" w:color="auto"/>
                <w:bottom w:val="none" w:sz="0" w:space="0" w:color="auto"/>
                <w:right w:val="none" w:sz="0" w:space="0" w:color="auto"/>
              </w:divBdr>
              <w:divsChild>
                <w:div w:id="1953631171">
                  <w:marLeft w:val="0"/>
                  <w:marRight w:val="0"/>
                  <w:marTop w:val="0"/>
                  <w:marBottom w:val="0"/>
                  <w:divBdr>
                    <w:top w:val="none" w:sz="0" w:space="0" w:color="auto"/>
                    <w:left w:val="none" w:sz="0" w:space="0" w:color="auto"/>
                    <w:bottom w:val="none" w:sz="0" w:space="0" w:color="auto"/>
                    <w:right w:val="none" w:sz="0" w:space="0" w:color="auto"/>
                  </w:divBdr>
                </w:div>
              </w:divsChild>
            </w:div>
            <w:div w:id="906184946">
              <w:marLeft w:val="0"/>
              <w:marRight w:val="0"/>
              <w:marTop w:val="0"/>
              <w:marBottom w:val="0"/>
              <w:divBdr>
                <w:top w:val="none" w:sz="0" w:space="0" w:color="auto"/>
                <w:left w:val="none" w:sz="0" w:space="0" w:color="auto"/>
                <w:bottom w:val="none" w:sz="0" w:space="0" w:color="auto"/>
                <w:right w:val="none" w:sz="0" w:space="0" w:color="auto"/>
              </w:divBdr>
              <w:divsChild>
                <w:div w:id="213660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63332">
          <w:marLeft w:val="0"/>
          <w:marRight w:val="0"/>
          <w:marTop w:val="0"/>
          <w:marBottom w:val="0"/>
          <w:divBdr>
            <w:top w:val="none" w:sz="0" w:space="0" w:color="auto"/>
            <w:left w:val="none" w:sz="0" w:space="0" w:color="auto"/>
            <w:bottom w:val="none" w:sz="0" w:space="0" w:color="auto"/>
            <w:right w:val="none" w:sz="0" w:space="0" w:color="auto"/>
          </w:divBdr>
          <w:divsChild>
            <w:div w:id="1960719708">
              <w:marLeft w:val="0"/>
              <w:marRight w:val="0"/>
              <w:marTop w:val="0"/>
              <w:marBottom w:val="0"/>
              <w:divBdr>
                <w:top w:val="none" w:sz="0" w:space="0" w:color="auto"/>
                <w:left w:val="none" w:sz="0" w:space="0" w:color="auto"/>
                <w:bottom w:val="none" w:sz="0" w:space="0" w:color="auto"/>
                <w:right w:val="none" w:sz="0" w:space="0" w:color="auto"/>
              </w:divBdr>
              <w:divsChild>
                <w:div w:id="293603115">
                  <w:marLeft w:val="0"/>
                  <w:marRight w:val="0"/>
                  <w:marTop w:val="0"/>
                  <w:marBottom w:val="0"/>
                  <w:divBdr>
                    <w:top w:val="none" w:sz="0" w:space="0" w:color="auto"/>
                    <w:left w:val="none" w:sz="0" w:space="0" w:color="auto"/>
                    <w:bottom w:val="none" w:sz="0" w:space="0" w:color="auto"/>
                    <w:right w:val="none" w:sz="0" w:space="0" w:color="auto"/>
                  </w:divBdr>
                </w:div>
              </w:divsChild>
            </w:div>
            <w:div w:id="1881897826">
              <w:marLeft w:val="0"/>
              <w:marRight w:val="0"/>
              <w:marTop w:val="0"/>
              <w:marBottom w:val="0"/>
              <w:divBdr>
                <w:top w:val="none" w:sz="0" w:space="0" w:color="auto"/>
                <w:left w:val="none" w:sz="0" w:space="0" w:color="auto"/>
                <w:bottom w:val="none" w:sz="0" w:space="0" w:color="auto"/>
                <w:right w:val="none" w:sz="0" w:space="0" w:color="auto"/>
              </w:divBdr>
              <w:divsChild>
                <w:div w:id="70707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searchgate.net/deref/http%3A%2F%2Fdx.doi.org%2F10.1504%2FIJMED.2008.018758?_sg%5B0%5D=EJqjWl9z0gJ4iOCi6AEVjDgPskgr1o_igN5kObRDpDdQgPKxdIzSJgksxiJ8tV7V59OdgM3ZISDaihVvanXVFIzDFw.BpQxPbTj-APtL3NatjoL-yLQd8mdVK7RtQq_u7LOyhm-nkSh_teHtrXzMlwOPKeZVxLNx5tqoAQam1s3ca_fPw" TargetMode="External"/><Relationship Id="rId5" Type="http://schemas.openxmlformats.org/officeDocument/2006/relationships/hyperlink" Target="https://www.researchgate.net/publication/247833487_An_evaluation_of_the_uneasy_transition_towards_social_enterprise_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6670</Words>
  <Characters>38020</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Read</dc:creator>
  <cp:keywords/>
  <dc:description/>
  <cp:lastModifiedBy>Magda Read</cp:lastModifiedBy>
  <cp:revision>2</cp:revision>
  <dcterms:created xsi:type="dcterms:W3CDTF">2020-05-11T09:53:00Z</dcterms:created>
  <dcterms:modified xsi:type="dcterms:W3CDTF">2020-05-11T09:53:00Z</dcterms:modified>
</cp:coreProperties>
</file>