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E3B5" w14:textId="77777777" w:rsidR="006A42A8" w:rsidRPr="00A67C32" w:rsidRDefault="006A42A8" w:rsidP="006A42A8">
      <w:pPr>
        <w:spacing w:line="360" w:lineRule="auto"/>
        <w:rPr>
          <w:rFonts w:ascii="Times New Roman" w:hAnsi="Times New Roman" w:cs="Times New Roman"/>
          <w:b/>
          <w:bCs/>
          <w:sz w:val="28"/>
          <w:szCs w:val="28"/>
        </w:rPr>
      </w:pPr>
      <w:r w:rsidRPr="00A67C32">
        <w:rPr>
          <w:rFonts w:ascii="Times New Roman" w:hAnsi="Times New Roman" w:cs="Times New Roman"/>
          <w:b/>
          <w:bCs/>
          <w:sz w:val="28"/>
          <w:szCs w:val="28"/>
        </w:rPr>
        <w:t>The Windrush Scandal and the individualisation of postcolonial immigration control in Britain</w:t>
      </w:r>
    </w:p>
    <w:p w14:paraId="0D5B747E" w14:textId="77777777" w:rsidR="006A42A8" w:rsidRDefault="006A42A8" w:rsidP="006A42A8">
      <w:pPr>
        <w:pStyle w:val="Authornames"/>
      </w:pPr>
      <w:r>
        <w:t>Mike Slaven</w:t>
      </w:r>
      <w:r>
        <w:rPr>
          <w:vertAlign w:val="superscript"/>
        </w:rPr>
        <w:t>a</w:t>
      </w:r>
      <w:r>
        <w:t>*</w:t>
      </w:r>
    </w:p>
    <w:p w14:paraId="0890C22B" w14:textId="77777777" w:rsidR="006A42A8" w:rsidRDefault="006A42A8" w:rsidP="006A42A8">
      <w:pPr>
        <w:pStyle w:val="Affiliation"/>
      </w:pPr>
      <w:r>
        <w:rPr>
          <w:vertAlign w:val="superscript"/>
        </w:rPr>
        <w:t>a</w:t>
      </w:r>
      <w:r>
        <w:t>School of Social and Political Sciences, University of Lincoln, Lincoln, UK</w:t>
      </w:r>
    </w:p>
    <w:p w14:paraId="3475AE88" w14:textId="0CB2890C" w:rsidR="006A42A8" w:rsidRPr="00A67C32" w:rsidRDefault="006A42A8" w:rsidP="006A42A8">
      <w:pPr>
        <w:pStyle w:val="Affiliation"/>
        <w:rPr>
          <w:i w:val="0"/>
          <w:iCs/>
        </w:rPr>
      </w:pPr>
      <w:r w:rsidRPr="00A67C32">
        <w:rPr>
          <w:i w:val="0"/>
          <w:iCs/>
        </w:rPr>
        <w:t>Mike Slaven</w:t>
      </w:r>
      <w:r w:rsidRPr="00A67C32">
        <w:rPr>
          <w:i w:val="0"/>
          <w:iCs/>
        </w:rPr>
        <w:br/>
      </w:r>
      <w:r>
        <w:rPr>
          <w:i w:val="0"/>
          <w:iCs/>
        </w:rPr>
        <w:t>Bridge House</w:t>
      </w:r>
      <w:r w:rsidRPr="00A67C32">
        <w:rPr>
          <w:i w:val="0"/>
          <w:iCs/>
        </w:rPr>
        <w:br/>
      </w:r>
      <w:r>
        <w:rPr>
          <w:i w:val="0"/>
          <w:iCs/>
        </w:rPr>
        <w:t xml:space="preserve">University of Lincoln </w:t>
      </w:r>
      <w:r>
        <w:rPr>
          <w:i w:val="0"/>
          <w:iCs/>
        </w:rPr>
        <w:br/>
        <w:t>Lincoln</w:t>
      </w:r>
      <w:r w:rsidRPr="00A67C32">
        <w:rPr>
          <w:i w:val="0"/>
          <w:iCs/>
        </w:rPr>
        <w:br/>
      </w:r>
      <w:r>
        <w:rPr>
          <w:i w:val="0"/>
          <w:iCs/>
        </w:rPr>
        <w:t>LN6 7TS</w:t>
      </w:r>
      <w:r w:rsidRPr="00A67C32">
        <w:rPr>
          <w:i w:val="0"/>
          <w:iCs/>
        </w:rPr>
        <w:br/>
        <w:t>UK</w:t>
      </w:r>
      <w:r w:rsidRPr="00A67C32">
        <w:rPr>
          <w:i w:val="0"/>
          <w:iCs/>
        </w:rPr>
        <w:br/>
      </w:r>
      <w:r>
        <w:rPr>
          <w:i w:val="0"/>
          <w:iCs/>
        </w:rPr>
        <w:t>mslaven</w:t>
      </w:r>
      <w:r w:rsidRPr="00A67C32">
        <w:rPr>
          <w:i w:val="0"/>
          <w:iCs/>
        </w:rPr>
        <w:t>@</w:t>
      </w:r>
      <w:r>
        <w:rPr>
          <w:i w:val="0"/>
          <w:iCs/>
        </w:rPr>
        <w:t>lincoln</w:t>
      </w:r>
      <w:r w:rsidRPr="00A67C32">
        <w:rPr>
          <w:i w:val="0"/>
          <w:iCs/>
        </w:rPr>
        <w:t>.ac.u</w:t>
      </w:r>
      <w:r w:rsidR="005E59E8">
        <w:rPr>
          <w:i w:val="0"/>
          <w:iCs/>
        </w:rPr>
        <w:t>k</w:t>
      </w:r>
      <w:r w:rsidR="005E59E8">
        <w:rPr>
          <w:i w:val="0"/>
          <w:iCs/>
        </w:rPr>
        <w:br/>
      </w:r>
      <w:r w:rsidR="005E59E8" w:rsidRPr="005E59E8">
        <w:rPr>
          <w:i w:val="0"/>
          <w:iCs/>
        </w:rPr>
        <w:t>ORCID: </w:t>
      </w:r>
      <w:hyperlink r:id="rId4" w:tgtFrame="_blank" w:tooltip="Click for public view of ORCID" w:history="1">
        <w:r w:rsidR="005E59E8" w:rsidRPr="005E59E8">
          <w:t>0000-0001-8651-4480</w:t>
        </w:r>
      </w:hyperlink>
      <w:r w:rsidRPr="00A67C32">
        <w:rPr>
          <w:i w:val="0"/>
          <w:iCs/>
        </w:rPr>
        <w:br/>
        <w:t>@mcslaven</w:t>
      </w:r>
    </w:p>
    <w:p w14:paraId="21B5791D" w14:textId="77777777" w:rsidR="006A42A8" w:rsidRDefault="006A42A8" w:rsidP="006A42A8">
      <w:pPr>
        <w:pStyle w:val="Correspondencedetails"/>
      </w:pPr>
      <w:r>
        <w:t>*corresponding author</w:t>
      </w:r>
    </w:p>
    <w:p w14:paraId="49F421FB" w14:textId="2A83AECE" w:rsidR="006A42A8" w:rsidRDefault="006A42A8" w:rsidP="006A42A8">
      <w:pPr>
        <w:pStyle w:val="Notesoncontributors"/>
      </w:pPr>
      <w:r w:rsidRPr="003D35F0">
        <w:t>Mike Slaven is</w:t>
      </w:r>
      <w:r>
        <w:t xml:space="preserve"> Senior Lecturer in International Politics, School of Social and Political Sciences, University of Lincoln.</w:t>
      </w:r>
    </w:p>
    <w:p w14:paraId="35C868DC" w14:textId="3BC2C4C0" w:rsidR="006A42A8" w:rsidRDefault="006A42A8" w:rsidP="006A42A8">
      <w:pPr>
        <w:pStyle w:val="Notesoncontributors"/>
      </w:pPr>
      <w:r>
        <w:t>This research has been funded by the Economic and Social Research Council, project reference ES/N011171/1; and by the US-UK Fulbright Commission.</w:t>
      </w:r>
    </w:p>
    <w:p w14:paraId="719F505B" w14:textId="5C405B34" w:rsidR="00775EC9" w:rsidRDefault="00775EC9">
      <w:r>
        <w:br w:type="page"/>
      </w:r>
    </w:p>
    <w:p w14:paraId="5B3AC1A3" w14:textId="77777777" w:rsidR="00775EC9" w:rsidRPr="008B66EC" w:rsidRDefault="00775EC9" w:rsidP="00775EC9">
      <w:pPr>
        <w:spacing w:line="360" w:lineRule="auto"/>
        <w:rPr>
          <w:rFonts w:ascii="Times New Roman" w:hAnsi="Times New Roman" w:cs="Times New Roman"/>
          <w:b/>
          <w:bCs/>
          <w:sz w:val="28"/>
          <w:szCs w:val="28"/>
        </w:rPr>
      </w:pPr>
      <w:r w:rsidRPr="008B66EC">
        <w:rPr>
          <w:rFonts w:ascii="Times New Roman" w:hAnsi="Times New Roman" w:cs="Times New Roman"/>
          <w:b/>
          <w:bCs/>
          <w:sz w:val="28"/>
          <w:szCs w:val="28"/>
        </w:rPr>
        <w:lastRenderedPageBreak/>
        <w:t>The Windrush Scandal and the individualisation of postcolonial immigration control in Britain</w:t>
      </w:r>
    </w:p>
    <w:p w14:paraId="78236134" w14:textId="77777777" w:rsidR="00775EC9" w:rsidRPr="00F64ADC" w:rsidRDefault="00775EC9" w:rsidP="00775EC9">
      <w:pPr>
        <w:pStyle w:val="Abstract"/>
        <w:rPr>
          <w:szCs w:val="22"/>
        </w:rPr>
      </w:pPr>
      <w:r w:rsidRPr="008B66EC">
        <w:rPr>
          <w:szCs w:val="22"/>
        </w:rPr>
        <w:t xml:space="preserve">This article argues a previously little-discussed policy shift, the individualisation of UK immigration control, is key to understanding the Windrush Scandal and the wider governance of racialised immigrants in Britain. Drawing on official records from 1963-1973, this article identifies how the UK shifted from an initial aggregate model of governing postcolonial immigrants, deemphasising individual policing, to a model centred on scrutinising individual immigrant compliance. Through interviews with 1980s-2010s UK policy actors, it identifies three policy legacies of this shift. First, it naturalised increasing individual scrutiny as the mechanism for reducing immigration volumes, making immanent the “hostile environment” logic. Second, it gradually increased expectations of individual immigrant documentation, after many Windrush victims arrived under document-light control systems. Third, centring immigrants’ individuality accorded with declining policy deliberation about immigration control’s potential impacts on already-settled minorities. Even absent formal changes to their status, this shift eroded the rights of </w:t>
      </w:r>
      <w:r w:rsidRPr="00F64ADC">
        <w:rPr>
          <w:szCs w:val="22"/>
        </w:rPr>
        <w:t>long-settled immigrants in Britain.</w:t>
      </w:r>
    </w:p>
    <w:p w14:paraId="005503AD" w14:textId="32419670" w:rsidR="00775EC9" w:rsidRPr="00F64ADC" w:rsidRDefault="00775EC9" w:rsidP="00775EC9">
      <w:pPr>
        <w:spacing w:line="480" w:lineRule="auto"/>
        <w:rPr>
          <w:rFonts w:ascii="Times New Roman" w:hAnsi="Times New Roman" w:cs="Times New Roman"/>
          <w:b/>
          <w:bCs/>
          <w:szCs w:val="24"/>
        </w:rPr>
      </w:pPr>
    </w:p>
    <w:p w14:paraId="193503FB" w14:textId="68779F71" w:rsidR="00F64ADC" w:rsidRPr="00F64ADC" w:rsidRDefault="00F64ADC" w:rsidP="00775EC9">
      <w:pPr>
        <w:spacing w:line="480" w:lineRule="auto"/>
        <w:rPr>
          <w:rFonts w:ascii="Times New Roman" w:hAnsi="Times New Roman" w:cs="Times New Roman"/>
          <w:szCs w:val="24"/>
        </w:rPr>
      </w:pPr>
      <w:r w:rsidRPr="00F64ADC">
        <w:rPr>
          <w:rFonts w:ascii="Times New Roman" w:hAnsi="Times New Roman" w:cs="Times New Roman"/>
          <w:b/>
          <w:bCs/>
          <w:szCs w:val="24"/>
        </w:rPr>
        <w:t>Keywords:</w:t>
      </w:r>
      <w:r>
        <w:rPr>
          <w:rFonts w:ascii="Times New Roman" w:hAnsi="Times New Roman" w:cs="Times New Roman"/>
          <w:b/>
          <w:bCs/>
          <w:szCs w:val="24"/>
        </w:rPr>
        <w:t xml:space="preserve"> </w:t>
      </w:r>
      <w:r>
        <w:rPr>
          <w:rFonts w:ascii="Times New Roman" w:hAnsi="Times New Roman" w:cs="Times New Roman"/>
          <w:szCs w:val="24"/>
        </w:rPr>
        <w:t xml:space="preserve">Windrush, </w:t>
      </w:r>
      <w:r w:rsidR="00AE7184">
        <w:rPr>
          <w:rFonts w:ascii="Times New Roman" w:hAnsi="Times New Roman" w:cs="Times New Roman"/>
          <w:szCs w:val="24"/>
        </w:rPr>
        <w:t>hostile environment</w:t>
      </w:r>
      <w:r>
        <w:rPr>
          <w:rFonts w:ascii="Times New Roman" w:hAnsi="Times New Roman" w:cs="Times New Roman"/>
          <w:szCs w:val="24"/>
        </w:rPr>
        <w:t xml:space="preserve">, illegalization, </w:t>
      </w:r>
      <w:r w:rsidR="00AE7184">
        <w:rPr>
          <w:rFonts w:ascii="Times New Roman" w:hAnsi="Times New Roman" w:cs="Times New Roman"/>
          <w:szCs w:val="24"/>
        </w:rPr>
        <w:t>undocumented, Immigration Act 1971, Immigration Act 2014</w:t>
      </w:r>
    </w:p>
    <w:p w14:paraId="3D319583" w14:textId="77777777" w:rsidR="00F64ADC" w:rsidRPr="008B66EC" w:rsidRDefault="00F64ADC" w:rsidP="00775EC9">
      <w:pPr>
        <w:spacing w:line="480" w:lineRule="auto"/>
        <w:rPr>
          <w:rFonts w:ascii="Times New Roman" w:hAnsi="Times New Roman" w:cs="Times New Roman"/>
          <w:b/>
          <w:bCs/>
          <w:sz w:val="24"/>
          <w:szCs w:val="24"/>
        </w:rPr>
      </w:pPr>
    </w:p>
    <w:p w14:paraId="587ABA05" w14:textId="77777777" w:rsidR="00775EC9" w:rsidRPr="008B66EC" w:rsidRDefault="00775EC9" w:rsidP="00775EC9">
      <w:pPr>
        <w:spacing w:line="480" w:lineRule="auto"/>
        <w:rPr>
          <w:rFonts w:ascii="Times New Roman" w:hAnsi="Times New Roman" w:cs="Times New Roman"/>
          <w:b/>
          <w:bCs/>
          <w:sz w:val="24"/>
          <w:szCs w:val="24"/>
        </w:rPr>
      </w:pPr>
      <w:r w:rsidRPr="008B66EC">
        <w:rPr>
          <w:rFonts w:ascii="Times New Roman" w:hAnsi="Times New Roman" w:cs="Times New Roman"/>
          <w:b/>
          <w:bCs/>
          <w:sz w:val="24"/>
          <w:szCs w:val="24"/>
        </w:rPr>
        <w:t>Introduction</w:t>
      </w:r>
    </w:p>
    <w:p w14:paraId="773F382B" w14:textId="1AEBAE0A" w:rsidR="00775EC9" w:rsidRPr="008B66EC"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sz w:val="24"/>
          <w:szCs w:val="24"/>
        </w:rPr>
        <w:tab/>
        <w:t xml:space="preserve">In 1963, eight-year-old Judy Griffith left Barbados for the United Kingdom to join her parents, who were among the post-World War II African Caribbean immigrants to Britain today known as the “Windrush generation”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{"citationID":"GxY2yz5b","properties":{"formattedCitation":"(Phoenix, 1998)","plainCitation":"(Phoenix, 1998)","dontUpdate":true,"noteIndex":0},"citationItems":[{"id":6029,"uris":["http://zotero.org/users/1623609/items/BD6JCQ98"],"uri":["http://zotero.org/users/1623609/items/BD6JCQ98"],"itemData":{"id":6029,"type":"article-journal","container-title":"soundings","page":"86-96","source":"Google Scholar","title":"Multicultures’,‘multiracisms’ and young people: Contradictory legacies of ‘Windrush’","volume":"10","author":[{"family":"Phoenix","given":"Ann"}],"issued":{"date-parts":[["1998"]]}}}],"schema":"https://github.com/citation-style-language/schema/raw/master/csl-citation.json"}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(Phoenix 1998)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By today’s standards, the immigration control system which Griffith encountered would be unrecognisable. Legislation in 1962 gave dependent children of already-settled “Commonwealth citizens” (ex-imperial subjects) a statutory right to settle permanently in Britain. No visa was required, nor was individual documentation: Griffith and her sister voyaged to England on a shared passport </w:t>
      </w:r>
      <w:r w:rsidRPr="008B66EC">
        <w:rPr>
          <w:rFonts w:ascii="Times New Roman" w:hAnsi="Times New Roman" w:cs="Times New Roman"/>
          <w:sz w:val="24"/>
          <w:szCs w:val="24"/>
        </w:rPr>
        <w:lastRenderedPageBreak/>
        <w:fldChar w:fldCharType="begin"/>
      </w:r>
      <w:r w:rsidRPr="008B66EC">
        <w:rPr>
          <w:rFonts w:ascii="Times New Roman" w:hAnsi="Times New Roman" w:cs="Times New Roman"/>
          <w:sz w:val="24"/>
          <w:szCs w:val="24"/>
        </w:rPr>
        <w:instrText xml:space="preserve"> ADDIN ZOTERO_ITEM CSL_CITATION {"citationID":"GHoAdGxS","properties":{"formattedCitation":"(Griffith, 2018)","plainCitation":"(Griffith, 2018)","dontUpdate":true,"noteIndex":0},"citationItems":[{"id":7047,"uris":["http://zotero.org/users/1623609/items/UY55AC3P"],"uri":["http://zotero.org/users/1623609/items/UY55AC3P"],"itemData":{"id":7047,"type":"webpage","abstract":"In July 2018 the British Library interviewed Judy Griffith, who came to Britain as a child in 1963 from Barbados. She is one of many of the Windrush generation who have had their status as British citizens questioned, despite having indefinite leave to remain as a Commonwealth citizen.","container-title":"The British Library","language":"eng","note":"publisher: The British Library","title":"Perspectives on the Windrush generation scandal: an interview with Judy Griffith","title-short":"Perspectives on the Windrush generation scandal","URL":"https://www.bl.uk/windrush/articles/perspectives-on-the-windrush-generation-scandal-an-interview-with-judy-griffith","author":[{"family":"Griffith","given":"Judy"}],"accessed":{"date-parts":[["2020",9,15]]},"issued":{"date-parts":[["2018",10,4]]}}}],"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(Griffith 2018)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Permanent residency was granted at the port, documented by a passport stamp; in 1963, officials at ports </w:t>
      </w:r>
      <w:r w:rsidR="00122731">
        <w:rPr>
          <w:rFonts w:ascii="Times New Roman" w:hAnsi="Times New Roman" w:cs="Times New Roman"/>
          <w:sz w:val="24"/>
          <w:szCs w:val="24"/>
        </w:rPr>
        <w:t>recorded refusing</w:t>
      </w:r>
      <w:r w:rsidRPr="008B66EC">
        <w:rPr>
          <w:rFonts w:ascii="Times New Roman" w:hAnsi="Times New Roman" w:cs="Times New Roman"/>
          <w:sz w:val="24"/>
          <w:szCs w:val="24"/>
        </w:rPr>
        <w:t xml:space="preserve"> entry to 429 Commonwealth citizens, </w:t>
      </w:r>
      <w:r w:rsidR="00122731">
        <w:rPr>
          <w:rFonts w:ascii="Times New Roman" w:hAnsi="Times New Roman" w:cs="Times New Roman"/>
          <w:sz w:val="24"/>
          <w:szCs w:val="24"/>
        </w:rPr>
        <w:t>and</w:t>
      </w:r>
      <w:r w:rsidRPr="008B66EC">
        <w:rPr>
          <w:rFonts w:ascii="Times New Roman" w:hAnsi="Times New Roman" w:cs="Times New Roman"/>
          <w:sz w:val="24"/>
          <w:szCs w:val="24"/>
        </w:rPr>
        <w:t xml:space="preserve"> immediately granting permanent settlement to nearly 60,000 (TNA HO 344/197). After entry, the state had no system to monitor Commonwealth immigrants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{"citationID":"B4BUc7WW","properties":{"formattedCitation":"(Slaven &amp; Boswell, 2019)","plainCitation":"(Slaven &amp; Boswell, 2019)","dontUpdate":true,"noteIndex":0},"citationItems":[{"id":4301,"uris":["http://zotero.org/users/1623609/items/JMMQHJ7Z"],"uri":["http://zotero.org/users/1623609/items/JMMQHJ7Z"],"itemData":{"id":4301,"type":"article-journal","abstract":"(2018). Why symbolise control? Irregular migration to the UK and symbolic policy-making in the 1960s. Journal of Ethnic and Migration Studies. Ahead of Print.","archive_location":"world","container-title":"Journal of Ethnic and Migration Studies","ISSN":"10.1080/1369183X.2018.1459522","issue":"9","language":"en","page":"1477-1495","source":"www.tandfonline.com","title":"Why symbolise control? Irregular migration to the UK and symbolic policy-making in the 1960s","title-short":"Why symbolise control?","volume":"45","author":[{"family":"Slaven","given":"Mike"},{"family":"Boswell","given":"Christina"}],"issued":{"date-parts":[["2019"]]}}}],"schema":"https://github.com/citation-style-language/schema/raw/master/csl-citation.json"}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(Slaven &amp; Boswell 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 who formally possessed equal economic, social, and political rights – and few powers to deport them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{"citationID":"qdHlp8El","properties":{"formattedCitation":"(Bailkin 2008)","plainCitation":"(Bailkin 2008)","dontUpdate":true,"noteIndex":0},"citationItems":[{"id":3496,"uris":["http://zotero.org/groups/710893/items/D45965RT"],"uri":["http://zotero.org/groups/710893/items/D45965RT"],"itemData":{"id":3496,"type":"article-journal","container-title":"Journal of British Studies","issue":"4","page":"852–882","title":"Leaving Home: The Politics of Deportation in Postwar Britain","volume":"47","author":[{"family":"Bailkin","given":"Jordanna"}],"issued":{"date-parts":[["2008"]]}}}],"schema":"https://github.com/citation-style-language/schema/raw/master/csl-citation.json"}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(Bailkin 2008)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Griffith’s status in Britain was, by all appearances, permanent and secure.</w:t>
      </w:r>
    </w:p>
    <w:p w14:paraId="4F5AB67E" w14:textId="77777777" w:rsidR="00775EC9" w:rsidRPr="008B66EC"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sz w:val="24"/>
          <w:szCs w:val="24"/>
        </w:rPr>
        <w:tab/>
        <w:t xml:space="preserve">Fifty-one years later, however, when Griffith was applying for jobs, “I was told that I was an illegal immigrant,” she recalled in an interview with the British Library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{"citationID":"253us2vD","properties":{"formattedCitation":"(Griffith, 2018)","plainCitation":"(Griffith, 2018)","dontUpdate":true,"noteIndex":0},"citationItems":[{"id":7047,"uris":["http://zotero.org/users/1623609/items/UY55AC3P"],"uri":["http://zotero.org/users/1623609/items/UY55AC3P"],"itemData":{"id":7047,"type":"webpage","abstract":"In July 2018 the British Library interviewed Judy Griffith, who came to Britain as a child in 1963 from Barbados. She is one of many of the Windrush generation who have had their status as British citizens questioned, despite having indefinite leave to remain as a Commonwealth citizen.","container-title":"The British Library","language":"eng","note":"publisher: The British Library","title":"Perspectives on the Windrush generation scandal: an interview with Judy Griffith","title-short":"Perspectives on the Windrush generation scandal","URL":"https://www.bl.uk/windrush/articles/perspectives-on-the-windrush-generation-scandal-an-interview-with-judy-griffith","author":[{"family":"Griffith","given":"Judy"}],"accessed":{"date-parts":[["2020",9,15]]},"issued":{"date-parts":[["2018",10,4]]}}}],"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(Griffith 2018)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Griffith’s passport containing her proof of status was long lost in the mail, but unlike before, employers were now requesting it, following the Immigration Act 2014. Unable to work, Griffith began gathering evidence to prove a lifetime in Britain. Thousands in similar situations were denied jobs, health care, or pensions – and even deported to countries they barely remembered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{"citationID":"g88aTJW8","properties":{"formattedCitation":"(Gentleman, 2019)","plainCitation":"(Gentleman, 2019)","dontUpdate":true,"noteIndex":0},"citationItems":[{"id":6017,"uris":["http://zotero.org/users/1623609/items/ZPGYYCYP"],"uri":["http://zotero.org/users/1623609/items/ZPGYYCYP"],"itemData":{"id":6017,"type":"book","event-place":"London","publisher":"Guardian Books","publisher-place":"London","title":"The Windrush Betrayal: Exposing the Hostile Environment","author":[{"family":"Gentleman","given":"Amelia"}],"issued":{"date-parts":[["2019"]]}}}],"schema":"https://github.com/citation-style-language/schema/raw/master/csl-citation.json"}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(Gentleman 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w:t>
      </w:r>
    </w:p>
    <w:p w14:paraId="6617D6C3"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The “Windrush Scandal” has quickly become understood as a stark expression of the enduring state racism faced in the UK by racialised people with origins in former colonies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{"citationID":"qIaKydRU","properties":{"formattedCitation":"(de Noronha, 2019, pp. 2413\\uc0\\u8211{}2414)","plainCitation":"(de Noronha, 2019, pp. 2413–2414)","dontUpdate":true,"noteIndex":0},"citationItems":[{"id":6863,"uris":["http://zotero.org/users/1623609/items/5GPLV59K"],"uri":["http://zotero.org/users/1623609/items/5GPLV59K"],"itemData":{"id":6863,"type":"article-journal","abstract":"In this paper, I examine the experiences of Jason and Ricardo, two men who were deported to Jamaica from the UK following criminal conviction. This ethnographic inquiry into deportation provides a rich and complex account of race-making at different scales. Theorizing the connections between racialization and illegalization offers a productive framework for the study of racism in multi-status Britain. The paper argues that the border is central to race’s contemporary mobilization, not only in the lives of individuals like Jason and Ricardo but also for those interpellated as “natives”.","container-title":"Ethnic and Racial Studies","DOI":"10.1080/01419870.2019.1585559","ISSN":"0141-9870","issue":"14","note":"publisher: Routledge\n_eprint: https://doi.org/10.1080/01419870.2019.1585559","page":"2413-2430","source":"Taylor and Francis+NEJM","title":"Deportation, racism and multi-status Britain: immigration control and the production of race in the present","title-short":"Deportation, racism and multi-status Britain","volume":"42","author":[{"family":"Noronha","given":"Luke","non-dropping-particle":"de"}],"issued":{"date-parts":[["2019",10,26]]}},"locator":"2413-2414"}],"schema":"https://github.com/citation-style-language/schema/raw/master/csl-citation.json"}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(de Noronha 2019, 2413–2414)</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Public discussion has wondered how so many long-settled immigrants – widely considered “accepted” in Britain, the “‘right kind’ of migrants”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{"citationID":"vYL2QMAv","properties":{"formattedCitation":"(Peplow, 2019, p. 228)","plainCitation":"(Peplow, 2019, p. 228)","dontUpdate":true,"noteIndex":0},"citationItems":[{"id":7174,"uris":["http://zotero.org/users/1623609/items/2W6HQE8N"],"uri":["http://zotero.org/users/1623609/items/2W6HQE8N"],"itemData":{"id":7174,"type":"article-journal","abstract":"The arrival of the Empire Windrush in 1948 has been cemented as a mythical central symbol for immigration in histories of modern Britain. This article traces the growth and impact of the ‘Windrush-as-origins’ myth through study of its depiction in British newspapers. It demonstrates the contradictions raised and seemingly ignored by such portrayals of migration, as well as the issues caused by the manufactured centrality of this constructed origin story for those who do not neatly fit into a simplistic narrative of the ‘irresistible rise of multi-racial Britain’ since World War II.","container-title":"Immigrants &amp; Minorities","DOI":"10.1080/02619288.2020.1781624","ISSN":"0261-9288","issue":"3","note":"publisher: Routledge\n_eprint: https://doi.org/10.1080/02619288.2020.1781624","page":"211-237","source":"Taylor and Francis+NEJM","title":"‘In 1997 Nobody Had Heard of Windrush’: The Rise of the ‘Windrush Narrative’ in British Newspapers","title-short":"‘In 1997 Nobody Had Heard of Windrush’","volume":"37","author":[{"family":"Peplow","given":"Simon"}],"issued":{"date-parts":[["2019",9,2]]}},"locator":"228"}],"schema":"https://github.com/citation-style-language/schema/raw/master/csl-citation.json"}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(Peplow 2019, 228)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 became suspect, “illegal.”  The scandal has featured prominently in criticisms of Britain’s “hostile environment” for immigrants – a policy approach erecting “everyday borders” within society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{"citationID":"8IfavVCK","properties":{"formattedCitation":"(Yuval-Davis et al., 2019)","plainCitation":"(Yuval-Davis et al., 2019)","dontUpdate":true,"noteIndex":0},"citationItems":[{"id":6060,"uris":["http://zotero.org/users/1623609/items/7DCQ97TT"],"uri":["http://zotero.org/users/1623609/items/7DCQ97TT"],"itemData":{"id":6060,"type":"book","event-place":"Cambridge","ISBN":"978-1-5095-0496-1","language":"en","note":"Google-Books-ID: D9KcDwAAQBAJ","number-of-pages":"235","publisher":"Polity","publisher-place":"Cambridge","title":"Bordering","author":[{"family":"Yuval-Davis","given":"Nira"},{"family":"Wemyss","given":"Georgie"},{"family":"Cassidy","given":"Kathryn"}],"issued":{"date-parts":[["2019"]]}}}],"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(Yuval-Davis et al. 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intensified by UK governments in the 2010s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{"citationID":"RHTyCSqA","properties":{"formattedCitation":"(W. Williams 2020)","plainCitation":"(W. Williams 2020)","dontUpdate":true,"noteIndex":0},"citationItems":[{"id":7240,"uris":["http://zotero.org/users/1623609/items/PZUKVNT8"],"uri":["http://zotero.org/users/1623609/items/PZUKVNT8"],"itemData":{"id":7240,"type":"book","event-place":"Westminster","ISBN":"978-1-5286-1779-6","language":"en","note":"OCLC: 1180134448","publisher":"Home Office","publisher-place":"Westminster","source":"Open WorldCat","title":"Windrush Lessons Learned Review","title-short":"Windrush Lessons Learned Review","author":[{"family":"Williams","given":"Wendy"}],"issued":{"date-parts":[["2020",3,19]]}}}],"schema":"https://github.com/citation-style-language/schema/raw/master/csl-citation.json"}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(Williams 2020)</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as the continuation of decades of racist anti-immigrant politics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{"citationID":"EIAK0wYc","properties":{"formattedCitation":"(El-Enany, 2020, pp. 30\\uc0\\u8211{}33; Goodfellow, 2019, p. 6)","plainCitation":"(El-Enany, 2020, pp. 30–33; Goodfellow, 2019, p. 6)","dontUpdate":true,"noteIndex":0},"citationItems":[{"id":6254,"uris":["http://zotero.org/users/1623609/items/66K36YNG"],"uri":["http://zotero.org/users/1623609/items/66K36YNG"],"itemData":{"id":6254,"type":"book","event-place":"London","publisher":"Verso","publisher-place":"London","title":"Hostile Environment: How Immigrants Became Scapegoats","author":[{"family":"Goodfellow","given":"Maya"}],"issued":{"date-parts":[["2019"]]}},"locator":"6"},{"id":7198,"uris":["http://zotero.org/users/1623609/items/YEEHAWCX"],"uri":["http://zotero.org/users/1623609/items/YEEHAWCX"],"itemData":{"id":7198,"type":"book","abstract":"(B)ordering Britain argues that Britain is the spoils of empire, its immigration law is colonial violence and irregular immigration is anti-colonial resistance. In announcing itself as postcolonial through immigration and nationality laws passed in the 60s, 70s and 80s, Britain cut itself off symbolically and physically from its colonies and the Commonwealth, taking with it what it had plundered. This imperial vanishing act cast Britain's colonial history into the shadows. The British Empire, about which Britons know little, can be remembered fondly as a moment of past glory, as a gift once given to the world. Meanwhile immigration laws are justified on the basis that they keep the undeserving hordes out. In fact, immigration laws are acts of colonial seizure and violence. They obstruct the vast majority of racialised people from accessing colonial wealth amassed in the course of colonial conquest. Regardless of what the law, media and political discourse dictate, people with personal, ancestral or geographical links to colonialism, or those existing under the weight of its legacy of race and racism, have every right to come to Britain and take back what is theirs.","ISBN":"978-1-5261-4544-4","language":"en","note":"Google-Books-ID: yXICEAAAQBAJ","number-of-pages":"311","publisher":"Manchester University Press","title":"(B)ordering Britain: Law, race and empire","title-short":"Bordering Britain","author":[{"family":"El-Enany","given":"Nadine"}],"issued":{"date-parts":[["2020",2,11]]}},"locator":"30-33"}],"schema":"https://github.com/citation-style-language/schema/raw/master/csl-citation.json"}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(El-Enany 2020, 30–33; Goodfellow 2019, 6)</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w:t>
      </w:r>
    </w:p>
    <w:p w14:paraId="3B96F29F"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lastRenderedPageBreak/>
        <w:t xml:space="preserve">Such accounts shed substantial light on the proximate mechanisms of the scandal in the 2010s, and how it embodies continued hostility toward racialised immigrants in the UK. Less understood, however, is the nature of huge differences in state practices over time which stories like Griffith’s expose – differences which suggest a reorientation in the British state’s image of the natural ways to govern the racialised postcolonial immigrant subject. From 1963, with a society of widespread open racism but little systematic state monitoring of individual postcolonial immigrants, by 2014, these immigrants were on face “accepted,” but subjected to forms of scrutiny previously unimaginable. If these changes constitute how the UK state “illegalised”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{"citationID":"XDCOkxAP","properties":{"formattedCitation":"(De Genova, 2002)","plainCitation":"(De Genova, 2002)","dontUpdate":true,"noteIndex":0},"citationItems":[{"id":6878,"uris":["http://zotero.org/users/1623609/items/5NW9A7ZB"],"uri":["http://zotero.org/users/1623609/items/5NW9A7ZB"],"itemData":{"id":6878,"type":"article-journal","abstract":"This article strives to meet two challenges. As a review, it provides a critical discussion of the scholarship concerning undocumented migration, with a special emphasis on ethnographically informed works that foreground significant aspects of the everyday life of undocumented migrants. But another key concern here is to formulate more precisely the theoretical status of migrant “illegality” and deportability in order that further research related to undocumented migration may be conceptualized more rigorously. This review considers the study of migrant “illegality” as an epistemological, methodological, and political problem, in order to then formulate it as a theoretical problem. The article argues that it is insufficient to examine the “illegality” of undocumented migration only in terms of its consequences and that it is necessary also to produce historically informed accounts of the sociopolitical processes of “illegalization” themselves, which can be characterized as the legal production of migrant “illegality.”","container-title":"Annual Review of Anthropology","DOI":"10.1146/annurev.anthro.31.040402.085432","issue":"1","note":"_eprint: https://doi.org/10.1146/annurev.anthro.31.040402.085432","page":"419-447","source":"Annual Reviews","title":"Migrant “Illegality” and Deportability in Everyday Life","volume":"31","author":[{"family":"De Genova","given":"Nicholas"}],"issued":{"date-parts":[["2002"]]}}}],"schema":"https://github.com/citation-style-language/schema/raw/master/csl-citation.json"}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(De Genova 2002)</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Windrush victims, this raises not only the question of how the scandal happened, but also what longer-run shifts within the UK state reoriented the governance of postcolonial immigrant subjects, making the scandal </w:t>
      </w:r>
      <w:r w:rsidRPr="008B66EC">
        <w:rPr>
          <w:rFonts w:ascii="Times New Roman" w:hAnsi="Times New Roman" w:cs="Times New Roman"/>
          <w:i/>
          <w:iCs/>
          <w:sz w:val="24"/>
          <w:szCs w:val="24"/>
        </w:rPr>
        <w:t>possible</w:t>
      </w:r>
      <w:r w:rsidRPr="008B66EC">
        <w:rPr>
          <w:rFonts w:ascii="Times New Roman" w:hAnsi="Times New Roman" w:cs="Times New Roman"/>
          <w:sz w:val="24"/>
          <w:szCs w:val="24"/>
        </w:rPr>
        <w:t xml:space="preserve">. </w:t>
      </w:r>
    </w:p>
    <w:p w14:paraId="28E69A4D" w14:textId="4A56BD7B" w:rsidR="00775EC9" w:rsidRPr="008B66EC" w:rsidRDefault="00775EC9" w:rsidP="00122731">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This article identifies the roots of the Windrush Scandal in a previously little-recognised policy shift: the individualisation of UK immigration control. At the start of the 1960s, the “problem” of postcolonial immigration in Britain was rendered as the combination of immigrants’ race and their aggregate numbers, necessitating population-level interventions such as numerical capping, while intensive individual scrutiny was seen as not in the state’s interest. Over the next decade, UK policy shifted to trying to reduce immigration instead by intensifying scrutiny of immigrants at an individualised level, fitting with more punitive public discourses of immigration control. From this shift, this article identifies three interpretive legacies within UK state administration, with lasting policy implications. First, this shift naturalised increased scrutiny of individual immigrants as the logical policy intervention for reducing immigration volumes, making immanent the “hostile environment” logic. Second, this logic was operationalised through rising expectations of individual documentation, eventually exposing many who had arrived under the relatively document-light aggregate control model. Third, the centring of immigrants’ individuality accorded with </w:t>
      </w:r>
      <w:r w:rsidRPr="008B66EC">
        <w:rPr>
          <w:rFonts w:ascii="Times New Roman" w:hAnsi="Times New Roman" w:cs="Times New Roman"/>
          <w:sz w:val="24"/>
          <w:szCs w:val="24"/>
        </w:rPr>
        <w:lastRenderedPageBreak/>
        <w:t xml:space="preserve">reducing deliberation about the impacts of immigration control policies on already-settled racial minorities. </w:t>
      </w:r>
    </w:p>
    <w:p w14:paraId="31BA3BF6"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sz w:val="24"/>
        </w:rPr>
        <w:t xml:space="preserve">Through this analysis, this article contributes to understandings of how transitions from “explicitly racist immigration policy rooted in group-level assessments to a universal policy emphasising individual-level assessments” nonetheless “have the potential to (re)produce social inequalities on a large scale”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{"citationID":"WXwrRpuZ","properties":{"formattedCitation":"(Elrick, 2020, pp. 15\\uc0\\u8211{}16)","plainCitation":"(Elrick, 2020, pp. 15–16)","dontUpdate":true,"noteIndex":0},"citationItems":[{"id":7144,"uris":["http://zotero.org/users/1623609/items/F4QYMIAQ"],"uri":["http://zotero.org/users/1623609/items/F4QYMIAQ"],"itemData":{"id":7144,"type":"article-journal","abstract":"This article extends theories of how, in the mid-twentieth century, ‘merit-based’ immigration policies, which select immigrants based on individual human capital and social ties, replaced explicitly racist immigration policies that selected on national and racial group origins. It does so in reference to the historical Canadian case, where existing scholarship emphasises the role of macro and meso-level economic, cultural, and political factors in driving immigration policy change. Using a qualitative content analysis of unique archival data on admissions and deportation appeals, the article identifies high-level bureaucrats’ implementation practices as a micro-level mechanism of postwar immigration policy change. This mechanism allowed for low-risk policy experimentation and subsequently paved the way for a more systemic policy shift. The analysis also shows that individual-level assessments of traits like ‘merit’ were not designed to be ‘race free’ but emerged as a way of managing race, at the intersection of class and status. This gave the formal merit-based policy that later emerged a decidedly middle-class inflection. While focused on the historical Canadian case, the findings presented are relevant to broader debates about the role of immigration bureaucrats in policymaking and how race shapes nation-building under merit-based immigration policies.","container-title":"Journal of Ethnic and Migration Studies","DOI":"10.1080/1369183X.2020.1817731","ISSN":"1369-183X","issue":"0","note":"publisher: Routledge\n_eprint: https://doi.org/10.1080/1369183X.2020.1817731","page":"1-19","source":"Taylor and Francis+NEJM","title":"Bureaucratic implementation practices and the making of Canada’s merit-based immigration policy","volume":"0","author":[{"family":"Elrick","given":"Jennifer"}],"issued":{"date-parts":[["2020",9,16]]}},"locator":"15-16"}],"schema":"https://github.com/citation-style-language/schema/raw/master/csl-citation.json"}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szCs w:val="24"/>
        </w:rPr>
        <w:t>(Elrick 2020, 15–16)</w:t>
      </w:r>
      <w:r w:rsidRPr="008B66EC">
        <w:rPr>
          <w:rFonts w:ascii="Times New Roman" w:hAnsi="Times New Roman"/>
          <w:sz w:val="24"/>
        </w:rPr>
        <w:fldChar w:fldCharType="end"/>
      </w:r>
      <w:r w:rsidRPr="008B66EC">
        <w:rPr>
          <w:rFonts w:ascii="Times New Roman" w:hAnsi="Times New Roman"/>
          <w:sz w:val="24"/>
        </w:rPr>
        <w:t>.</w:t>
      </w:r>
      <w:r w:rsidRPr="008B66EC">
        <w:rPr>
          <w:rFonts w:ascii="Times New Roman" w:hAnsi="Times New Roman" w:cs="Times New Roman"/>
          <w:sz w:val="24"/>
          <w:szCs w:val="24"/>
        </w:rPr>
        <w:t xml:space="preserve"> Indeed, Paul Gilroy has called for analysis of “emergent forms of raciology more consistent with the agentic, individuating, rights-based approaches… changes [that] involve calculations about the relationship between past and present”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{"citationID":"Kly33RxC","properties":{"formattedCitation":"(2012, p. 381)","plainCitation":"(2012, p. 381)","dontUpdate":true,"noteIndex":0},"citationItems":[{"id":7233,"uris":["http://zotero.org/users/1623609/items/CQ8R5RZD"],"uri":["http://zotero.org/users/1623609/items/CQ8R5RZD"],"itemData":{"id":7233,"type":"article-journal","abstract":"This paper uses the 2011 viral video “My Tram Experience” as a prism through which to consider aspects of the contemporary politics of race and racism, immigration and misoxeny in Britain. The release and popularity of that clip is seen in the context of the second trial of the murders of Stephen Lawrence and in relation to technological changes and the emergence of virtual and immaterial racism on social media sites like Twitter and Facebook.","container-title":"Identities","DOI":"10.1080/1070289X.2012.725512","ISSN":"1070-289X","issue":"4","note":"publisher: Routledge\n_eprint: https://doi.org/10.1080/1070289X.2012.725512","page":"380-397","source":"Taylor and Francis+NEJM","title":"‘My Britain is fuck all’ zombie multiculturalism and the race politics of citizenship","volume":"19","author":[{"family":"Gilroy","given":"Paul"}],"issued":{"date-parts":[["2012",7,1]]}},"locator":"381","suppress-author":true}],"schema":"https://github.com/citation-style-language/schema/raw/master/csl-citation.json"}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(2012, 381)</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Examining this shift in the UK contributes to accounts which, by “focusing on immigration control,” allow for “theorizing historically specific racisms” produced by state practices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{"citationID":"9vKMqWg7","properties":{"formattedCitation":"(de Noronha, 2019, p. 2418)","plainCitation":"(de Noronha, 2019, p. 2418)","dontUpdate":true,"noteIndex":0},"citationItems":[{"id":6863,"uris":["http://zotero.org/users/1623609/items/5GPLV59K"],"uri":["http://zotero.org/users/1623609/items/5GPLV59K"],"itemData":{"id":6863,"type":"article-journal","abstract":"In this paper, I examine the experiences of Jason and Ricardo, two men who were deported to Jamaica from the UK following criminal conviction. This ethnographic inquiry into deportation provides a rich and complex account of race-making at different scales. Theorizing the connections between racialization and illegalization offers a productive framework for the study of racism in multi-status Britain. The paper argues that the border is central to race’s contemporary mobilization, not only in the lives of individuals like Jason and Ricardo but also for those interpellated as “natives”.","container-title":"Ethnic and Racial Studies","DOI":"10.1080/01419870.2019.1585559","ISSN":"0141-9870","issue":"14","note":"publisher: Routledge\n_eprint: https://doi.org/10.1080/01419870.2019.1585559","page":"2413-2430","source":"Taylor and Francis+NEJM","title":"Deportation, racism and multi-status Britain: immigration control and the production of race in the present","title-short":"Deportation, racism and multi-status Britain","volume":"42","author":[{"family":"Noronha","given":"Luke","non-dropping-particle":"de"}],"issued":{"date-parts":[["2019",10,26]]}},"locator":"2418"}],"schema":"https://github.com/citation-style-language/schema/raw/master/csl-citation.json"}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(de Noronha 2019, 2418)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recovering the historical specificity of immigration law, as Nicholas De Genova argues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Xfb8XQR6","properties":{"formattedCitation":"(2002)","plainCitation":"(2002)","noteIndex":0},"citationItems":[{"id":6878,"uris":["http://zotero.org/users/1623609/items/5NW9A7ZB"],"uri":["http://zotero.org/users/1623609/items/5NW9A7ZB"],"itemData":{"id":6878,"type":"article-journal","abstract":"This article strives to meet two challenges. As a review, it provides a critical discussion of the scholarship concerning undocumented migration, with a special emphasis on ethnographically informed works that foreground significant aspects of the everyday life of undocumented migrants. But another key concern here is to formulate more precisely the theoretical status of migrant “illegality” and deportability in order that further research related to undocumented migration may be conceptualized more rigorously. This review considers the study of migrant “illegality” as an epistemological, methodological, and political problem, in order to then formulate it as a theoretical problem. The article argues that it is insufficient to examine the “illegality” of undocumented migration only in terms of its consequences and that it is necessary also to produce historically informed accounts of the sociopolitical processes of “illegalization” themselves, which can be characterized as the legal production of migrant “illegality.”","container-title":"Annual Review of Anthropology","DOI":"10.1146/annurev.anthro.31.040402.085432","issue":"1","note":"_eprint: https://doi.org/10.1146/annurev.anthro.31.040402.085432","page":"419-447","source":"Annual Reviews","title":"Migrant “Illegality” and Deportability in Everyday Life","volume":"31","author":[{"family":"De Genova","given":"Nicholas"}],"issued":{"date-parts":[["2002"]]}},"suppress-author":true}],"schema":"https://github.com/citation-style-language/schema/raw/master/csl-citation.json"}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(2002)</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is key to denaturalising current forms of “illegality” and the state racism they enact. </w:t>
      </w:r>
    </w:p>
    <w:p w14:paraId="509B2ADA"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The article proceeds in three parts. First, surveying literature on the Windrush Scandal, it identifies the need to complement analyses of “how” and “why” the scandal happened, with examinations of processes that “constitut[ed] particular interpretive dispositions”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{"citationID":"1Dwkfa56","properties":{"formattedCitation":"(Doty, 1993, p. 298)","plainCitation":"(Doty, 1993, p. 298)","dontUpdate":true,"noteIndex":0},"citationItems":[{"id":7140,"uris":["http://zotero.org/users/1623609/items/AMA69YCM"],"uri":["http://zotero.org/users/1623609/items/AMA69YCM"],"itemData":{"id":7140,"type":"article-journal","abstract":"Abstract. Much of the criticism directed at post-positivist international relations has called for more detailed exploration of its implications for specific ar","container-title":"International Studies Quarterly","DOI":"10.2307/2600810","ISSN":"0020-8833","issue":"3","journalAbbreviation":"Int Stud Q","language":"en","note":"publisher: Oxford Academic","page":"297-320","source":"academic.oup.com","title":"Foreign Policy as Social Construction: A Post-Positivist Analysis of U.S. Counterinsurgency Policy in the Philippines","title-short":"Foreign Policy as Social Construction","volume":"37","author":[{"family":"Doty","given":"Roxanne Lynn"}],"issued":{"date-parts":[["1993",9,1]]}},"locator":"298"}],"schema":"https://github.com/citation-style-language/schema/raw/master/csl-citation.json"}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(Doty 1993, 298)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toward immigration control which legitimated and naturalised certain approaches – the “how possible?” question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{"citationID":"9Ne7dOos","properties":{"formattedCitation":"(Robinson, 2017, p. 509)","plainCitation":"(Robinson, 2017, p. 509)","dontUpdate":true,"noteIndex":0},"citationItems":[{"id":7120,"uris":["http://zotero.org/users/1623609/items/YBXGIB8V"],"uri":["http://zotero.org/users/1623609/items/YBXGIB8V"],"itemData":{"id":7120,"type":"article-journal","abstract":"This article offers a process-mechanism explanation of securitization. To make the case for a process-mechanism account more concrete, I use interpretivist process tracing to explain the crisis episode of the Sun Sea, a Thai cargo ship carrying Sri Lankan asylum-seekers, and the securitization of irregular migration in Canada. Drawing on interviews and grey literature, the article shows how securitization was possible and under what conditions, and argues that ideational dispositions of security organizations induced state officials toward a security interpretation of the the Sun Sea. The article aims to demonstrate that process-mechanism explanations represent a compelling methodological alternative with which to trace and explain securitization. The article sees itself as part of a broader refinement of a sociological variant of securitization theory. It seeks to examine and enhance the contribution that this ‘post-Copenhagen’ approach – its core assumptions and theoretical framework – makes to the analysis of securitization.","container-title":"Security Dialogue","DOI":"10.1177/0967010617721872","ISSN":"0967-0106","issue":"6","journalAbbreviation":"Security Dialogue","language":"en","note":"publisher: SAGE Publications Ltd","page":"505-523","source":"SAGE Journals","title":"Tracing and explaining securitization: Social mechanisms, process tracing and the securitization of irregular migration","title-short":"Tracing and explaining securitization","volume":"48","author":[{"family":"Robinson","given":"Corey"}],"issued":{"date-parts":[["2017",12,1]]}},"locator":"509"}],"schema":"https://github.com/citation-style-language/schema/raw/master/csl-citation.json"}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(Robinson 2017, 509)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Second, this article analyses 10,000 pages of archived official records from 1963-1973 to examine the aggregate-to-individualised policy shift. Third, it employs data from 27 interviews of UK immigration policy actors active from the 1980s-2010s to illuminate the three policy legacies identified. In conclusion, this analysis underlines how, even without formal legal changes to immigrants’ status, these shifts eroded the rights of long-settled immigrants in Britain.</w:t>
      </w:r>
    </w:p>
    <w:p w14:paraId="6BC7C8E8" w14:textId="77777777" w:rsidR="00775EC9" w:rsidRPr="008B66EC" w:rsidRDefault="00775EC9" w:rsidP="00775EC9">
      <w:pPr>
        <w:spacing w:line="480" w:lineRule="auto"/>
        <w:rPr>
          <w:rFonts w:ascii="Times New Roman" w:hAnsi="Times New Roman" w:cs="Times New Roman"/>
          <w:sz w:val="24"/>
          <w:szCs w:val="24"/>
        </w:rPr>
      </w:pPr>
    </w:p>
    <w:p w14:paraId="6A7352B5" w14:textId="77777777" w:rsidR="00775EC9" w:rsidRPr="008B66EC" w:rsidRDefault="00775EC9" w:rsidP="00775EC9">
      <w:pPr>
        <w:spacing w:line="480" w:lineRule="auto"/>
        <w:rPr>
          <w:rFonts w:ascii="Times New Roman" w:hAnsi="Times New Roman" w:cs="Times New Roman"/>
          <w:b/>
          <w:bCs/>
          <w:sz w:val="24"/>
          <w:szCs w:val="24"/>
        </w:rPr>
      </w:pPr>
      <w:r w:rsidRPr="008B66EC">
        <w:rPr>
          <w:rFonts w:ascii="Times New Roman" w:hAnsi="Times New Roman" w:cs="Times New Roman"/>
          <w:b/>
          <w:bCs/>
          <w:sz w:val="24"/>
          <w:szCs w:val="24"/>
        </w:rPr>
        <w:lastRenderedPageBreak/>
        <w:t>The Windrush Scandal: From “How?” to “How Possible?”</w:t>
      </w:r>
    </w:p>
    <w:p w14:paraId="6538CF48" w14:textId="77777777" w:rsidR="00775EC9" w:rsidRPr="008B66EC"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b/>
          <w:bCs/>
          <w:sz w:val="24"/>
          <w:szCs w:val="24"/>
        </w:rPr>
        <w:tab/>
      </w:r>
      <w:r w:rsidRPr="008B66EC">
        <w:rPr>
          <w:rFonts w:ascii="Times New Roman" w:hAnsi="Times New Roman" w:cs="Times New Roman"/>
          <w:sz w:val="24"/>
          <w:szCs w:val="24"/>
        </w:rPr>
        <w:t>The Windrush Scandal has become regarded as an essential illustration of the nature of racism and of anti-immigrant politics in contemporary Britain, provoking extensive public discussion. Analyses of “how” and “why” the Windrush Scandal developed have shed valuable light upon it, while making clear that policy changes in the 2010s which triggered the scandal extended existing trends – ones which contrast starkly with the immigration control logics operating when many Windrush victims migrated. Understanding the development of the scandal further requires identifying how persistent monitoring of postcolonial immigrants in the UK became seen as a sensible, natural way to govern this population – a “</w:t>
      </w:r>
      <w:r w:rsidRPr="008B66EC">
        <w:rPr>
          <w:rFonts w:ascii="Times New Roman" w:hAnsi="Times New Roman" w:cs="Times New Roman"/>
          <w:i/>
          <w:iCs/>
          <w:sz w:val="24"/>
          <w:szCs w:val="24"/>
        </w:rPr>
        <w:t>how possible</w:t>
      </w:r>
      <w:r w:rsidRPr="008B66EC">
        <w:rPr>
          <w:rFonts w:ascii="Times New Roman" w:hAnsi="Times New Roman" w:cs="Times New Roman"/>
          <w:sz w:val="24"/>
          <w:szCs w:val="24"/>
        </w:rPr>
        <w:t xml:space="preserve">” perspective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{"citationID":"NlhR00kM","properties":{"formattedCitation":"(Doty, 1993)","plainCitation":"(Doty, 1993)","dontUpdate":true,"noteIndex":0},"citationItems":[{"id":7140,"uris":["http://zotero.org/users/1623609/items/AMA69YCM"],"uri":["http://zotero.org/users/1623609/items/AMA69YCM"],"itemData":{"id":7140,"type":"article-journal","abstract":"Abstract. Much of the criticism directed at post-positivist international relations has called for more detailed exploration of its implications for specific ar","container-title":"International Studies Quarterly","DOI":"10.2307/2600810","ISSN":"0020-8833","issue":"3","journalAbbreviation":"Int Stud Q","language":"en","note":"publisher: Oxford Academic","page":"297-320","source":"academic.oup.com","title":"Foreign Policy as Social Construction: A Post-Positivist Analysis of U.S. Counterinsurgency Policy in the Philippines","title-short":"Foreign Policy as Social Construction","volume":"37","author":[{"family":"Doty","given":"Roxanne Lynn"}],"issued":{"date-parts":[["1993",9,1]]}}}],"schema":"https://github.com/citation-style-language/schema/raw/master/csl-citation.json"}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(Doty 1993)</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w:t>
      </w:r>
    </w:p>
    <w:p w14:paraId="4F74DBB7" w14:textId="77777777" w:rsidR="00775EC9" w:rsidRPr="008B66EC"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sz w:val="24"/>
          <w:szCs w:val="24"/>
        </w:rPr>
        <w:tab/>
        <w:t xml:space="preserve">The Windrush Scandal has been most extensively analysed in non-academic accounts, often focusing on Conservative Party-led immigration policy changes in the 2010s and defects in state administrative culture. Amelia Gentleman’s book-length account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6eUacU8q","properties":{"formattedCitation":"(2019)","plainCitation":"(2019)","noteIndex":0},"citationItems":[{"id":6017,"uris":["http://zotero.org/users/1623609/items/ZPGYYCYP"],"uri":["http://zotero.org/users/1623609/items/ZPGYYCYP"],"itemData":{"id":6017,"type":"book","event-place":"London","publisher":"Guardian Books","publisher-place":"London","title":"The Windrush Betrayal: Exposing the Hostile Environment","author":[{"family":"Gentleman","given":"Amelia"}],"issued":{"date-parts":[["2019"]]}},"suppress-author":true}],"schema":"https://github.com/citation-style-language/schema/raw/master/csl-citation.json"}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identifies the historically rooted “sense of betrayal” felt by Windrush victims, amid longer-run racism they faced in British society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{"citationID":"kDDhdBpH","properties":{"formattedCitation":"(Wardle and Obermuller 2019)","plainCitation":"(Wardle and Obermuller 2019)","dontUpdate":true,"noteIndex":0},"citationItems":[{"id":5982,"uris":["http://zotero.org/users/1623609/items/U5DJZX9P"],"uri":["http://zotero.org/users/1623609/items/U5DJZX9P"],"itemData":{"id":5982,"type":"article-journal","container-title":"Migration and Society","DOI":"10.3167/arms.2019.020108","ISSN":"2574-1306, 2574-1314","issue":"1","language":"en_US","page":"81-89","source":"www.berghahnjournals.com","title":"“Windrush Generation” and “Hostile Environment”: Symbols and Lived Experiences in Caribbean Migration to the UK","title-short":"“Windrush Generation” and “Hostile Environment”","volume":"2","author":[{"family":"Wardle","given":"Huon"},{"family":"Obermuller","given":"Laura"}],"issued":{"date-parts":[["2019",6,1]]}}}],"schema":"https://github.com/citation-style-language/schema/raw/master/csl-citation.json"}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(see Wardle &amp; Obermuller 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Still, it identifies “two Conservative Party political pledges… [that] sit at the roots of all the Windrush suffering”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{"citationID":"yBhiFTP0","properties":{"formattedCitation":"(Gentleman, 2019, p. 117)","plainCitation":"(Gentleman, 2019, p. 117)","dontUpdate":true,"noteIndex":0},"citationItems":[{"id":6017,"uris":["http://zotero.org/users/1623609/items/ZPGYYCYP"],"uri":["http://zotero.org/users/1623609/items/ZPGYYCYP"],"itemData":{"id":6017,"type":"book","event-place":"London","publisher":"Guardian Books","publisher-place":"London","title":"The Windrush Betrayal: Exposing the Hostile Environment","author":[{"family":"Gentleman","given":"Amelia"}],"issued":{"date-parts":[["2019"]]}},"locator":"117"}],"schema":"https://github.com/citation-style-language/schema/raw/master/csl-citation.json"}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(Gentleman 2019, 117)</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the “net migration pledge” in the 2010 election campaign to reduce net migration to the UK to below 100,000 per year; and then-Home Secretary Theresa May’s statement of intention in 2012 to create “a really hostile environment for illegal migration.” These pledges led to the heedless adoption of “hostile environment” policies which, through the Immigration Acts 2014 and 2016, “outsourced” immigration policing to actors outside the traditional immigration-control system, ensnaring long-settled immigrants when they sought housing, jobs, and welfare. </w:t>
      </w:r>
    </w:p>
    <w:p w14:paraId="511DDE29"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lastRenderedPageBreak/>
        <w:t xml:space="preserve">The most systematic analysis to date of the Windrush Scandal has been the independent report of the official Windrush Lessons Learned Review, led by the inspector of constabulary Wendy Williams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{"citationID":"y6KxaMTV","properties":{"formattedCitation":"(W. Williams 2020)","plainCitation":"(W. Williams 2020)","dontUpdate":true,"noteIndex":0},"citationItems":[{"id":7240,"uris":["http://zotero.org/users/1623609/items/PZUKVNT8"],"uri":["http://zotero.org/users/1623609/items/PZUKVNT8"],"itemData":{"id":7240,"type":"book","event-place":"Westminster","ISBN":"978-1-5286-1779-6","language":"en","note":"OCLC: 1180134448","publisher":"Home Office","publisher-place":"Westminster","source":"Open WorldCat","title":"Windrush Lessons Learned Review","title-short":"Windrush Lessons Learned Review","author":[{"family":"Williams","given":"Wendy"}],"issued":{"date-parts":[["2020",3,19]]}}}],"schema":"https://github.com/citation-style-language/schema/raw/master/csl-citation.json"}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(Williams 2020)</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This report locates the scandal at the confluence of many factors, including politically-led developments in the 2010s which sought to deter irregular immigration and outsource immigration control, while weakening administrative guardrails in order to expediate politically desired actions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{"citationID":"d6ny9KJ8","properties":{"formattedCitation":"(W. Williams 2020, 61)","plainCitation":"(W. Williams 2020, 61)","dontUpdate":true,"noteIndex":0},"citationItems":[{"id":7240,"uris":["http://zotero.org/users/1623609/items/PZUKVNT8"],"uri":["http://zotero.org/users/1623609/items/PZUKVNT8"],"itemData":{"id":7240,"type":"book","event-place":"Westminster","ISBN":"978-1-5286-1779-6","language":"en","note":"OCLC: 1180134448","publisher":"Home Office","publisher-place":"Westminster","source":"Open WorldCat","title":"Windrush Lessons Learned Review","title-short":"Windrush Lessons Learned Review","author":[{"family":"Williams","given":"Wendy"}],"issued":{"date-parts":[["2020",3,19]]}},"locator":"61"}],"schema":"https://github.com/citation-style-language/schema/raw/master/csl-citation.json"}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(Williams 2020, 61)</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Longstanding issues in Home Office culture made it “already at risk of not understanding the full consequences of the implementation of its policies”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{"citationID":"xxSTthsP","properties":{"formattedCitation":"(W. Williams 2020, 119)","plainCitation":"(W. Williams 2020, 119)","dontUpdate":true,"noteIndex":0},"citationItems":[{"id":7240,"uris":["http://zotero.org/users/1623609/items/PZUKVNT8"],"uri":["http://zotero.org/users/1623609/items/PZUKVNT8"],"itemData":{"id":7240,"type":"book","event-place":"Westminster","ISBN":"978-1-5286-1779-6","language":"en","note":"OCLC: 1180134448","publisher":"Home Office","publisher-place":"Westminster","source":"Open WorldCat","title":"Windrush Lessons Learned Review","title-short":"Windrush Lessons Learned Review","author":[{"family":"Williams","given":"Wendy"}],"issued":{"date-parts":[["2020",3,19]]}},"locator":"119"}],"schema":"https://github.com/citation-style-language/schema/raw/master/csl-citation.json"}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(Williams 2020, 119)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it habitually discounted warnings from outside groups, adopted defensive postures, and pursued bureaucratic targets at the expense of decision-making quality, among other problems.</w:t>
      </w:r>
    </w:p>
    <w:p w14:paraId="01E0AD34" w14:textId="77777777" w:rsidR="00775EC9" w:rsidRPr="008B66EC"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sz w:val="24"/>
          <w:szCs w:val="24"/>
        </w:rPr>
        <w:tab/>
        <w:t xml:space="preserve">Academic discussion of the Windrush Scandal has tended not to use the scandal itself as a starting point, but rather, identify it as a case of wider phenomena. The scandal has been readily interpreted through the “(everyday) bordering” concept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{"citationID":"f2Dw8dgB","properties":{"formattedCitation":"(Yuval-Davis et al., 2019, p. 97)","plainCitation":"(Yuval-Davis et al., 2019, p. 97)","dontUpdate":true,"noteIndex":0},"citationItems":[{"id":6060,"uris":["http://zotero.org/users/1623609/items/7DCQ97TT"],"uri":["http://zotero.org/users/1623609/items/7DCQ97TT"],"itemData":{"id":6060,"type":"book","event-place":"Cambridge","ISBN":"978-1-5095-0496-1","language":"en","note":"Google-Books-ID: D9KcDwAAQBAJ","number-of-pages":"235","publisher":"Polity","publisher-place":"Cambridge","title":"Bordering","author":[{"family":"Yuval-Davis","given":"Nira"},{"family":"Wemyss","given":"Georgie"},{"family":"Cassidy","given":"Kathryn"}],"issued":{"date-parts":[["2019"]]}},"locator":"97"}],"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(Yuval-Davis et al. 2019, 97)</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where neoliberal states’ attempts to secure legitimacy turn to instantiating “bordering” throughout society; the Immigration Act 2014 has been analysed as emblematic of the phenomenon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{"citationID":"wOfbO9wn","properties":{"formattedCitation":"(Yuval-Davis et al., 2018)","plainCitation":"(Yuval-Davis et al., 2018)","dontUpdate":true,"noteIndex":0},"citationItems":[{"id":4894,"uris":["http://zotero.org/users/1623609/items/Q9RPMXGW"],"uri":["http://zotero.org/users/1623609/items/Q9RPMXGW"],"itemData":{"id":4894,"type":"article-journal","abstract":"The article argues that everyday bordering has become a major technology of control of both social diversity and discourses on diversity, in a way that threatens the convivial co-existence of pluralist societies, especially in metropolitan cities, as well as reconstructs everyday citizenship. The article begins with an outline of a theoretical and methodological framework, which explores bordering, the politics of belonging and a situated intersectional perspective for the study of the everyday. It then analyses the shift in focus of recent UK immigration legislation from the external, territorial border to the internal border, incorporating technologies of everyday bordering in which ordinary citizens are demanded to become either border-guards and/or suspected illegitimate border crossers. We illustrate our argument in the area of employment examining the impact of the requirements of the immigration legislation from the situated gazes of professional border officers, employers and employees in their bordering encounters.","container-title":"Sociology","DOI":"10.1177/0038038517702599","ISSN":"0038-0385","issue":"2","journalAbbreviation":"Sociology","language":"en","page":"228-244","source":"SAGE Journals","title":"Everyday Bordering, Belonging and the Reorientation of British Immigration Legislation","volume":"52","author":[{"family":"Yuval-Davis","given":"Nira"},{"family":"Wemyss","given":"Georgie"},{"family":"Cassidy","given":"Kathryn"}],"issued":{"date-parts":[["2018",4,1]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(Yuval-Davis et al. 2018)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Likewise, the Windrush Scandal is often invoked in critiques of the “hostile environment,” as a nadir of a longer-run dehumanisation of racialised immigrants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{"citationID":"L1esJFV5","properties":{"formattedCitation":"(Goodfellow, 2019)","plainCitation":"(Goodfellow, 2019)","dontUpdate":true,"noteIndex":0},"citationItems":[{"id":6254,"uris":["http://zotero.org/users/1623609/items/66K36YNG"],"uri":["http://zotero.org/users/1623609/items/66K36YNG"],"itemData":{"id":6254,"type":"book","event-place":"London","publisher":"Verso","publisher-place":"London","title":"Hostile Environment: How Immigrants Became Scapegoats","author":[{"family":"Goodfellow","given":"Maya"}],"issued":{"date-parts":[["2019"]]}}}],"schema":"https://github.com/citation-style-language/schema/raw/master/csl-citation.json"}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(Goodfellow 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in a project of neo-colonial seizure and violence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{"citationID":"0SAK6yth","properties":{"formattedCitation":"(El-Enany, 2020, pp. 30\\uc0\\u8211{}33)","plainCitation":"(El-Enany, 2020, pp. 30–33)","dontUpdate":true,"noteIndex":0},"citationItems":[{"id":7198,"uris":["http://zotero.org/users/1623609/items/YEEHAWCX"],"uri":["http://zotero.org/users/1623609/items/YEEHAWCX"],"itemData":{"id":7198,"type":"book","abstract":"(B)ordering Britain argues that Britain is the spoils of empire, its immigration law is colonial violence and irregular immigration is anti-colonial resistance. In announcing itself as postcolonial through immigration and nationality laws passed in the 60s, 70s and 80s, Britain cut itself off symbolically and physically from its colonies and the Commonwealth, taking with it what it had plundered. This imperial vanishing act cast Britain's colonial history into the shadows. The British Empire, about which Britons know little, can be remembered fondly as a moment of past glory, as a gift once given to the world. Meanwhile immigration laws are justified on the basis that they keep the undeserving hordes out. In fact, immigration laws are acts of colonial seizure and violence. They obstruct the vast majority of racialised people from accessing colonial wealth amassed in the course of colonial conquest. Regardless of what the law, media and political discourse dictate, people with personal, ancestral or geographical links to colonialism, or those existing under the weight of its legacy of race and racism, have every right to come to Britain and take back what is theirs.","ISBN":"978-1-5261-4544-4","language":"en","note":"Google-Books-ID: yXICEAAAQBAJ","number-of-pages":"311","publisher":"Manchester University Press","title":"(B)ordering Britain: Law, race and empire","title-short":"Bordering Britain","author":[{"family":"El-Enany","given":"Nadine"}],"issued":{"date-parts":[["2020",2,11]]}},"locator":"30-33"}],"schema":"https://github.com/citation-style-language/schema/raw/master/csl-citation.json"}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(El-Enany 2020, 30–33)</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Similarly, the deportations which some Windrush victims suffered are encompassed within deportation’s use as a technology of racism, aimed as well at other African Caribbean immigrants deemed “unwanted”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{"citationID":"LqtLpO13","properties":{"formattedCitation":"(de Noronha, 2019, pp. 2413\\uc0\\u8211{}2414)","plainCitation":"(de Noronha, 2019, pp. 2413–2414)","dontUpdate":true,"noteIndex":0},"citationItems":[{"id":6863,"uris":["http://zotero.org/users/1623609/items/5GPLV59K"],"uri":["http://zotero.org/users/1623609/items/5GPLV59K"],"itemData":{"id":6863,"type":"article-journal","abstract":"In this paper, I examine the experiences of Jason and Ricardo, two men who were deported to Jamaica from the UK following criminal conviction. This ethnographic inquiry into deportation provides a rich and complex account of race-making at different scales. Theorizing the connections between racialization and illegalization offers a productive framework for the study of racism in multi-status Britain. The paper argues that the border is central to race’s contemporary mobilization, not only in the lives of individuals like Jason and Ricardo but also for those interpellated as “natives”.","container-title":"Ethnic and Racial Studies","DOI":"10.1080/01419870.2019.1585559","ISSN":"0141-9870","issue":"14","note":"publisher: Routledge\n_eprint: https://doi.org/10.1080/01419870.2019.1585559","page":"2413-2430","source":"Taylor and Francis+NEJM","title":"Deportation, racism and multi-status Britain: immigration control and the production of race in the present","title-short":"Deportation, racism and multi-status Britain","volume":"42","author":[{"family":"Noronha","given":"Luke","non-dropping-particle":"de"}],"issued":{"date-parts":[["2019",10,26]]}},"locator":"2413-2414"}],"schema":"https://github.com/citation-style-language/schema/raw/master/csl-citation.json"}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(de Noronha 2019, 2413–2414)</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w:t>
      </w:r>
    </w:p>
    <w:p w14:paraId="2361635B"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Contrastingly, scholarship focused on the scandal itself has typically examined public memory or discourse around the “Windrush generation”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{"citationID":"P4IAhYn8","properties":{"formattedCitation":"(Peplow, 2019; Wardle &amp; Obermuller, 2019)","plainCitation":"(Peplow, 2019; Wardle &amp; Obermuller, 2019)","noteIndex":0},"citationItems":[{"id":7174,"uris":["http://zotero.org/users/1623609/items/2W6HQE8N"],"uri":["http://zotero.org/users/1623609/items/2W6HQE8N"],"itemData":{"id":7174,"type":"article-journal","abstract":"The arrival of the Empire Windrush in 1948 has been cemented as a mythical central symbol for immigration in histories of modern Britain. This article traces the growth and impact of the ‘Windrush-as-origins’ myth through study of its depiction in British newspapers. It demonstrates the contradictions raised and seemingly ignored by such portrayals of migration, as well as the issues caused by the manufactured centrality of this constructed origin story for those who do not neatly fit into a simplistic narrative of the ‘irresistible rise of multi-racial Britain’ since World War II.","container-title":"Immigrants &amp; Minorities","DOI":"10.1080/02619288.2020.1781624","ISSN":"0261-9288","issue":"3","note":"publisher: Routledge\n_eprint: https://doi.org/10.1080/02619288.2020.1781624","page":"211-237","source":"Taylor and Francis+NEJM","title":"‘In 1997 Nobody Had Heard of Windrush’: The Rise of the ‘Windrush Narrative’ in British Newspapers","title-short":"‘In 1997 Nobody Had Heard of Windrush’","volume":"37","author":[{"family":"Peplow","given":"Simon"}],"issued":{"date-parts":[["2019",9,2]]}}},{"id":5982,"uris":["http://zotero.org/users/1623609/items/U5DJZX9P"],"uri":["http://zotero.org/users/1623609/items/U5DJZX9P"],"itemData":{"id":5982,"type":"article-journal","container-title":"Migration and Society","DOI":"10.3167/arms.2019.020108","ISSN":"2574-1306, 2574-1314","issue":"1","language":"en_US","page":"81-89","source":"www.berghahnjournals.com","title":"“Windrush Generation” and “Hostile Environment”: Symbols and Lived Experiences in Caribbean Migration to the UK","title-short":"“Windrush Generation” and “Hostile Environment”","volume":"2","author":[{"family":"Wardle","given":"Huon"},{"family":"Obermuller","given":"Laura"}],"issued":{"date-parts":[["2019",6,1]]}}}],"schema":"https://github.com/citation-style-language/schema/raw/master/csl-citation.json"}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(e.g. Peplow, 2019; Wardle &amp; Obermuller, 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w:t>
      </w:r>
      <w:r w:rsidRPr="008B66EC">
        <w:rPr>
          <w:rFonts w:ascii="Times New Roman" w:hAnsi="Times New Roman"/>
          <w:sz w:val="24"/>
        </w:rPr>
        <w:t xml:space="preserve">Some analysts have emphasised that the “Windrush generation” encountered racist hostility from its arrival, long before the “hostile environment” existed in </w:t>
      </w:r>
      <w:r w:rsidRPr="008B66EC">
        <w:rPr>
          <w:rFonts w:ascii="Times New Roman" w:hAnsi="Times New Roman"/>
          <w:sz w:val="24"/>
        </w:rPr>
        <w:lastRenderedPageBreak/>
        <w:t xml:space="preserve">policy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{"citationID":"mUmR4J9Z","properties":{"formattedCitation":"(Olusoga, 2019)","plainCitation":"(Olusoga, 2019)","dontUpdate":true,"noteIndex":0},"citationItems":[{"id":6038,"uris":["http://zotero.org/users/1623609/items/56DHWPY6"],"uri":["http://zotero.org/users/1623609/items/56DHWPY6"],"itemData":{"id":6038,"type":"broadcast","publisher":"BBC2","title":"The Unwanted: The Secret Windrush Files","author":[{"family":"Olusoga","given":"David"}],"issued":{"date-parts":[["2019",6,24]]}}}],"schema":"https://github.com/citation-style-language/schema/raw/master/csl-citation.json"}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(Olusoga 2019)</w:t>
      </w:r>
      <w:r w:rsidRPr="008B66EC">
        <w:rPr>
          <w:rFonts w:ascii="Times New Roman" w:hAnsi="Times New Roman"/>
          <w:sz w:val="24"/>
        </w:rPr>
        <w:fldChar w:fldCharType="end"/>
      </w:r>
      <w:r w:rsidRPr="008B66EC">
        <w:rPr>
          <w:rFonts w:ascii="Times New Roman" w:hAnsi="Times New Roman"/>
          <w:sz w:val="24"/>
        </w:rPr>
        <w:t xml:space="preserve">. Trouble only arose for the government when victims no longer widely considered “unwanted” emerged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{"citationID":"eEjgj7bT","properties":{"formattedCitation":"(Bloom, 2019, p. 491)","plainCitation":"(Bloom, 2019, p. 491)","dontUpdate":true,"noteIndex":0},"citationItems":[{"id":7216,"uris":["http://zotero.org/users/1623609/items/Z49Z37T8"],"uri":["http://zotero.org/users/1623609/items/Z49Z37T8"],"itemData":{"id":7216,"type":"article-journal","abstract":"The fluid use of the terminology associated with “migration governance” can obscure its intention and implications. Different meanings of core terminology risks allowing troubling policies that are not really about migration, understood widely as border crossing, or even more broadly as human movement, to be legitimized. UN-level coordination with regard to “migration governance” needs to be part of addressing this concern. For example, this article advocates explicitly engaging with this risk through the implementation of the Global Compact for Safe, Orderly and Regular Migration. It considers this issue from the perspectives of a handful of countries, each of which has its own complex relationship to the compact. It argues that in each of these apparently very different contexts, policies identified as being directed at “migration control” can be found to be directed not at controlling migration but at reconfiguring existing and stable state societies along ethnic, racial, linguistic, and other lines. The development of implementation plans for the Global Compact for Migration provides the opportunity to interrogate the purposes of “migration governance” and to find mechanisms to address its hidden uses.","container-title":"Ethics &amp; International Affairs","DOI":"10.1017/S0892679419000443","ISSN":"0892-6794, 1747-7093","issue":"4","language":"en","note":"publisher: Cambridge University Press","page":"481-497","source":"Cambridge University Press","title":"When Migration Policy Isn't about Migration: Considerations for Implementation of the Global Compact for Migration","title-short":"When Migration Policy Isn't about Migration","volume":"33","author":[{"family":"Bloom","given":"Tendayi"}],"issued":{"date-parts":[["2019"]],"season":"ed"}},"locator":"491"}],"schema":"https://github.com/citation-style-language/schema/raw/master/csl-citation.json"}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(Bloom 2019, 491)</w:t>
      </w:r>
      <w:r w:rsidRPr="008B66EC">
        <w:rPr>
          <w:rFonts w:ascii="Times New Roman" w:hAnsi="Times New Roman"/>
          <w:sz w:val="24"/>
        </w:rPr>
        <w:fldChar w:fldCharType="end"/>
      </w:r>
      <w:r w:rsidRPr="008B66EC">
        <w:rPr>
          <w:rFonts w:ascii="Times New Roman" w:hAnsi="Times New Roman"/>
          <w:sz w:val="24"/>
        </w:rPr>
        <w:t xml:space="preserve">, but this nonetheless underlined how racialised people in the UK continue to have “more insecure claims to citizenship and belonging”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{"citationID":"uTMG9hst","properties":{"formattedCitation":"(Shankley &amp; Rhodes, 2020, p. 213)","plainCitation":"(Shankley &amp; Rhodes, 2020, p. 213)","dontUpdate":true,"noteIndex":0},"citationItems":[{"id":7168,"uris":["http://zotero.org/users/1623609/items/QKCS7LXL"],"uri":["http://zotero.org/users/1623609/items/QKCS7LXL"],"itemData":{"id":7168,"type":"chapter","container-title":"Ethnicity and Race, and Inequality in the UK: State of the Nation.","ISBN":"978-1-4473-5125-2","language":"en","note":"OCLC: 1103510052","page":"203-228","publisher":"Policy Press","source":"Open WorldCat","title":"Racisms in contemporary Britain","author":[{"family":"Shankley","given":"William"},{"family":"Rhodes","given":"James"}],"editor":[{"family":"Byrne","given":"Bridget"},{"family":"Alexander","given":"Claire"},{"family":"Khan","given":"Omar"},{"family":"Nazroo","given":"James"},{"family":"Shankley","given":"William"}],"issued":{"date-parts":[["2020"]]}},"locator":"213"}],"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(Shankley &amp; Rhodes 2020, 213)</w:t>
      </w:r>
      <w:r w:rsidRPr="008B66EC">
        <w:rPr>
          <w:rFonts w:ascii="Times New Roman" w:hAnsi="Times New Roman"/>
          <w:sz w:val="24"/>
        </w:rPr>
        <w:fldChar w:fldCharType="end"/>
      </w:r>
      <w:r w:rsidRPr="008B66EC">
        <w:rPr>
          <w:rFonts w:ascii="Times New Roman" w:hAnsi="Times New Roman"/>
          <w:sz w:val="24"/>
        </w:rPr>
        <w:t>.</w:t>
      </w:r>
    </w:p>
    <w:p w14:paraId="6A2D6E21" w14:textId="77777777" w:rsidR="00775EC9" w:rsidRPr="008B66EC" w:rsidRDefault="00775EC9" w:rsidP="00775EC9">
      <w:pPr>
        <w:spacing w:line="480" w:lineRule="auto"/>
        <w:rPr>
          <w:rFonts w:ascii="Times New Roman" w:hAnsi="Times New Roman"/>
          <w:sz w:val="24"/>
        </w:rPr>
      </w:pPr>
      <w:r w:rsidRPr="008B66EC">
        <w:rPr>
          <w:rFonts w:ascii="Times New Roman" w:hAnsi="Times New Roman" w:cs="Times New Roman"/>
          <w:sz w:val="24"/>
          <w:szCs w:val="24"/>
        </w:rPr>
        <w:tab/>
        <w:t>Such analyses reveal an important contrast: between the continuity of racism in Windrush victims’ experiences, and the major differences in the effects which immigration-control systems had at different times upon their lives in Britain. Amidst a continuation of hostility, these changes nonetheless suggest larger shifts in how the UK state interpreted the natural ways to govern the racialised postcolonial immigrant subject. Analyses which have emphasised the importance of longer-run policy changes have apprehended them in two principal ways. On one account, continued policy changes have destabilising cumulative impacts: eventually, state administration lost track of policy consequences,</w:t>
      </w:r>
      <w:r w:rsidRPr="008B66EC">
        <w:rPr>
          <w:rFonts w:ascii="Times New Roman" w:hAnsi="Times New Roman"/>
          <w:sz w:val="24"/>
        </w:rPr>
        <w:t xml:space="preserve"> “a layering effect” which resulted in authorities “losing sight of the past”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{"citationID":"2hv2CCKf","properties":{"formattedCitation":"(W. Williams 2020, 88)","plainCitation":"(W. Williams 2020, 88)","dontUpdate":true,"noteIndex":0},"citationItems":[{"id":7240,"uris":["http://zotero.org/users/1623609/items/PZUKVNT8"],"uri":["http://zotero.org/users/1623609/items/PZUKVNT8"],"itemData":{"id":7240,"type":"book","event-place":"Westminster","ISBN":"978-1-5286-1779-6","language":"en","note":"OCLC: 1180134448","publisher":"Home Office","publisher-place":"Westminster","source":"Open WorldCat","title":"Windrush Lessons Learned Review","title-short":"Windrush Lessons Learned Review","author":[{"family":"Williams","given":"Wendy"}],"issued":{"date-parts":[["2020",3,19]]}},"locator":"88"}],"schema":"https://github.com/citation-style-language/schema/raw/master/csl-citation.json"}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(Williams 2020, 88)</w:t>
      </w:r>
      <w:r w:rsidRPr="008B66EC">
        <w:rPr>
          <w:rFonts w:ascii="Times New Roman" w:hAnsi="Times New Roman"/>
          <w:sz w:val="24"/>
        </w:rPr>
        <w:fldChar w:fldCharType="end"/>
      </w:r>
      <w:r w:rsidRPr="008B66EC">
        <w:rPr>
          <w:rFonts w:ascii="Times New Roman" w:hAnsi="Times New Roman"/>
          <w:sz w:val="24"/>
        </w:rPr>
        <w:t xml:space="preserve">. On another account, longer-run policy changes are background for proximate decisions in the 2010s centred in analysis. Here, while the 2010s Conservatives </w:t>
      </w:r>
      <w:r w:rsidRPr="008B66EC">
        <w:rPr>
          <w:rFonts w:ascii="Times New Roman" w:hAnsi="Times New Roman" w:cs="Times New Roman"/>
          <w:sz w:val="24"/>
          <w:szCs w:val="24"/>
        </w:rPr>
        <w:t xml:space="preserve">“built on similar initiatives brought in by both main parties over decades”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{"citationID":"leIJ9xUJ","properties":{"formattedCitation":"(Gentleman, 2019, p. 131)","plainCitation":"(Gentleman, 2019, p. 131)","dontUpdate":true,"noteIndex":0},"citationItems":[{"id":6017,"uris":["http://zotero.org/users/1623609/items/ZPGYYCYP"],"uri":["http://zotero.org/users/1623609/items/ZPGYYCYP"],"itemData":{"id":6017,"type":"book","event-place":"London","publisher":"Guardian Books","publisher-place":"London","title":"The Windrush Betrayal: Exposing the Hostile Environment","author":[{"family":"Gentleman","given":"Amelia"}],"issued":{"date-parts":[["2019"]]}},"locator":"131"}],"schema":"https://github.com/citation-style-language/schema/raw/master/csl-citation.json"}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(Gentleman 2019, 131)</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and </w:t>
      </w:r>
      <w:r w:rsidRPr="008B66EC">
        <w:rPr>
          <w:rFonts w:ascii="Times New Roman" w:hAnsi="Times New Roman"/>
          <w:sz w:val="24"/>
        </w:rPr>
        <w:t xml:space="preserve">“the hostile environment was another step on the long road towards a more restrictive immigration regime… it was also a departure in terms of the scale and seriousness of the effects which would be directly felt by individuals”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{"citationID":"xN5SvvKv","properties":{"formattedCitation":"(W. Williams 2020, 118)","plainCitation":"(W. Williams 2020, 118)","dontUpdate":true,"noteIndex":0},"citationItems":[{"id":7240,"uris":["http://zotero.org/users/1623609/items/PZUKVNT8"],"uri":["http://zotero.org/users/1623609/items/PZUKVNT8"],"itemData":{"id":7240,"type":"book","event-place":"Westminster","ISBN":"978-1-5286-1779-6","language":"en","note":"OCLC: 1180134448","publisher":"Home Office","publisher-place":"Westminster","source":"Open WorldCat","title":"Windrush Lessons Learned Review","title-short":"Windrush Lessons Learned Review","author":[{"family":"Williams","given":"Wendy"}],"issued":{"date-parts":[["2020",3,19]]}},"locator":"118"}],"schema":"https://github.com/citation-style-language/schema/raw/master/csl-citation.json"}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(Williams 2020, 118)</w:t>
      </w:r>
      <w:r w:rsidRPr="008B66EC">
        <w:rPr>
          <w:rFonts w:ascii="Times New Roman" w:hAnsi="Times New Roman"/>
          <w:sz w:val="24"/>
        </w:rPr>
        <w:fldChar w:fldCharType="end"/>
      </w:r>
      <w:r w:rsidRPr="008B66EC">
        <w:rPr>
          <w:rFonts w:ascii="Times New Roman" w:hAnsi="Times New Roman"/>
          <w:sz w:val="24"/>
        </w:rPr>
        <w:t>.</w:t>
      </w:r>
    </w:p>
    <w:p w14:paraId="6BE6D12F" w14:textId="77777777" w:rsidR="00775EC9" w:rsidRPr="008B66EC" w:rsidRDefault="00775EC9" w:rsidP="00775EC9">
      <w:pPr>
        <w:spacing w:line="480" w:lineRule="auto"/>
        <w:rPr>
          <w:rFonts w:ascii="Times New Roman" w:hAnsi="Times New Roman"/>
          <w:sz w:val="24"/>
        </w:rPr>
      </w:pPr>
      <w:r w:rsidRPr="008B66EC">
        <w:rPr>
          <w:rFonts w:ascii="Times New Roman" w:hAnsi="Times New Roman"/>
          <w:sz w:val="24"/>
        </w:rPr>
        <w:tab/>
        <w:t xml:space="preserve">While these accounts shed extremely valuable light, they leave less explored how UK immigration governance fundamentally reoriented to create the possibility that persistent monitoring of immigration compliance could be introduced long after settlement, in stark contrast to the immigration-control system under which many Windrush victims arrived. Analysis of the Immigration Act 2014, for instance, recognises that it extended already-visible outsourcing logics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{"citationID":"i5vnAK9k","properties":{"formattedCitation":"(Gentleman, 2019, p. 131; Yuval-Davis et al., 2018)","plainCitation":"(Gentleman, 2019, p. 131; Yuval-Davis et al., 2018)","dontUpdate":true,"noteIndex":0},"citationItems":[{"id":4894,"uris":["http://zotero.org/users/1623609/items/Q9RPMXGW"],"uri":["http://zotero.org/users/1623609/items/Q9RPMXGW"],"itemData":{"id":4894,"type":"article-journal","abstract":"The article argues that everyday bordering has become a major technology of control of both social diversity and discourses on diversity, in a way that threatens the convivial co-existence of pluralist societies, especially in metropolitan cities, as well as reconstructs everyday citizenship. The article begins with an outline of a theoretical and methodological framework, which explores bordering, the politics of belonging and a situated intersectional perspective for the study of the everyday. It then analyses the shift in focus of recent UK immigration legislation from the external, territorial border to the internal border, incorporating technologies of everyday bordering in which ordinary citizens are demanded to become either border-guards and/or suspected illegitimate border crossers. We illustrate our argument in the area of employment examining the impact of the requirements of the immigration legislation from the situated gazes of professional border officers, employers and employees in their bordering encounters.","container-title":"Sociology","DOI":"10.1177/0038038517702599","ISSN":"0038-0385","issue":"2","journalAbbreviation":"Sociology","language":"en","page":"228-244","source":"SAGE Journals","title":"Everyday Bordering, Belonging and the Reorientation of British Immigration Legislation","volume":"52","author":[{"family":"Yuval-Davis","given":"Nira"},{"family":"Wemyss","given":"Georgie"},{"family":"Cassidy","given":"Kathryn"}],"issued":{"date-parts":[["2018",4,1]]}}},{"id":6017,"uris":["http://zotero.org/users/1623609/items/ZPGYYCYP"],"uri":["http://zotero.org/users/1623609/items/ZPGYYCYP"],"itemData":{"id":6017,"type":"book","event-place":"London","publisher":"Guardian Books","publisher-place":"London","title":"The Windrush Betrayal: Exposing the Hostile Environment","author":[{"family":"Gentleman","given":"Amelia"}],"issued":{"date-parts":[["2019"]]}},"locator":"131"}],"schema":"https://github.com/citation-style-language/schema/raw/master/csl-citation.json"}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(Gentleman 2019, 131; Yuval-Davis et al. 2018)</w:t>
      </w:r>
      <w:r w:rsidRPr="008B66EC">
        <w:rPr>
          <w:rFonts w:ascii="Times New Roman" w:hAnsi="Times New Roman"/>
          <w:sz w:val="24"/>
        </w:rPr>
        <w:fldChar w:fldCharType="end"/>
      </w:r>
      <w:r w:rsidRPr="008B66EC">
        <w:rPr>
          <w:rFonts w:ascii="Times New Roman" w:hAnsi="Times New Roman"/>
          <w:sz w:val="24"/>
        </w:rPr>
        <w:t xml:space="preserve">, especially as this </w:t>
      </w:r>
      <w:r w:rsidRPr="008B66EC">
        <w:rPr>
          <w:rFonts w:ascii="Times New Roman" w:hAnsi="Times New Roman"/>
          <w:sz w:val="24"/>
        </w:rPr>
        <w:lastRenderedPageBreak/>
        <w:t xml:space="preserve">has been occurring in the UK welfare state since the 1990s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{"citationID":"TbKe8VTc","properties":{"formattedCitation":"(Slaven et al., 2021, pp. 872\\uc0\\u8211{}876)","plainCitation":"(Slaven et al., 2021, pp. 872–876)","dontUpdate":true,"noteIndex":0},"citationItems":[{"id":7382,"uris":["http://zotero.org/users/1623609/items/APCA3I8K"],"uri":["http://zotero.org/users/1623609/items/APCA3I8K"],"itemData":{"id":7382,"type":"article-journal","abstract":"Western European states have increasingly linked immigration and welfare policy. This trend has important implications for European welfare-state trajectories, but accounts of the policy reasoning behind it have diverged. Are policymakers attempting to delimit social citizenship to secure welfare-state legitimacy? Pursuing new, market-oriented welfare-state goals? Symbolically communicating immigration control intentions to voters? Or attempting to instrumentally steer immigration flows? These accounts have rarely been tested empirically against each other. Redressing this, we employ 83 elite interviews in a comparative process-tracing study of policies linking welfare provision and immigration status in Germany, France, and the UK during the 1990s. We find little evidence suggesting welfare-guided policy reasonings. Rather, this policy linkage appears “immigration-guided:” meant to control “unwanted” immigration or resonate symbolically in immigration politics. Differences in exclusions from welfare support for migrants grew from existing national differences in welfare-state design and politicizations of immigration, not from policy intentions, which were largely shared.","container-title":"Comparative Political Studies","DOI":"10.1177/0010414020957674","ISSN":"0010-4140","issue":"5","journalAbbreviation":"Comparative Political Studies","language":"en","note":"publisher: SAGE Publications Inc","page":"855-888","source":"SAGE Journals","title":"What Drives the Immigration-Welfare Policy Link? Comparing Germany, France and the United Kingdom","title-short":"What Drives the Immigration-Welfare Policy Link?","volume":"54","author":[{"family":"Slaven","given":"Mike"},{"family":"Casella Colombeau","given":"Sara"},{"family":"Badenhoop","given":"Elisabeth"}],"issued":{"date-parts":[["2021",4,1]]}},"locator":"872-876"}],"schema":"https://github.com/citation-style-language/schema/raw/master/csl-citation.json"}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szCs w:val="24"/>
        </w:rPr>
        <w:t>(Slaven et al. 2021, 872–876)</w:t>
      </w:r>
      <w:r w:rsidRPr="008B66EC">
        <w:rPr>
          <w:rFonts w:ascii="Times New Roman" w:hAnsi="Times New Roman"/>
          <w:sz w:val="24"/>
        </w:rPr>
        <w:fldChar w:fldCharType="end"/>
      </w:r>
      <w:r w:rsidRPr="008B66EC">
        <w:rPr>
          <w:rFonts w:ascii="Times New Roman" w:hAnsi="Times New Roman"/>
          <w:sz w:val="24"/>
        </w:rPr>
        <w:t>; the logic of 2010s “hostile environment” policies was, in some way, already available to policymakers. In this sense, while accounts of the Windrush Scandal have examined “</w:t>
      </w:r>
      <w:r w:rsidRPr="008B66EC">
        <w:rPr>
          <w:rFonts w:ascii="Times New Roman" w:hAnsi="Times New Roman"/>
          <w:i/>
          <w:iCs/>
          <w:sz w:val="24"/>
        </w:rPr>
        <w:t>why</w:t>
      </w:r>
      <w:r w:rsidRPr="008B66EC">
        <w:rPr>
          <w:rFonts w:ascii="Times New Roman" w:hAnsi="Times New Roman"/>
          <w:sz w:val="24"/>
        </w:rPr>
        <w:t>” and “</w:t>
      </w:r>
      <w:r w:rsidRPr="008B66EC">
        <w:rPr>
          <w:rFonts w:ascii="Times New Roman" w:hAnsi="Times New Roman"/>
          <w:i/>
          <w:iCs/>
          <w:sz w:val="24"/>
        </w:rPr>
        <w:t>how</w:t>
      </w:r>
      <w:r w:rsidRPr="008B66EC">
        <w:rPr>
          <w:rFonts w:ascii="Times New Roman" w:hAnsi="Times New Roman"/>
          <w:sz w:val="24"/>
        </w:rPr>
        <w:t xml:space="preserve">” it happened – identifying immediately preceding policy changes as crucial junctures – </w:t>
      </w:r>
      <w:r w:rsidRPr="008B66EC">
        <w:rPr>
          <w:rFonts w:ascii="Times New Roman" w:hAnsi="Times New Roman" w:cs="Times New Roman"/>
          <w:sz w:val="24"/>
          <w:szCs w:val="24"/>
        </w:rPr>
        <w:t>analysis is also needed of longer processes that</w:t>
      </w:r>
      <w:r w:rsidRPr="008B66EC">
        <w:rPr>
          <w:rFonts w:ascii="Times New Roman" w:hAnsi="Times New Roman"/>
          <w:sz w:val="24"/>
        </w:rPr>
        <w:t xml:space="preserve"> naturalised as legitimate and sensible the kinds of policies contained in the 2014 Act. Distinct from linear causal investigation, this is the “</w:t>
      </w:r>
      <w:r w:rsidRPr="008B66EC">
        <w:rPr>
          <w:rFonts w:ascii="Times New Roman" w:hAnsi="Times New Roman"/>
          <w:i/>
          <w:iCs/>
          <w:sz w:val="24"/>
        </w:rPr>
        <w:t>how possible</w:t>
      </w:r>
      <w:r w:rsidRPr="008B66EC">
        <w:rPr>
          <w:rFonts w:ascii="Times New Roman" w:hAnsi="Times New Roman"/>
          <w:sz w:val="24"/>
        </w:rPr>
        <w:t xml:space="preserve">” question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{"citationID":"xAuDTV7w","properties":{"formattedCitation":"(Doty, 1993)","plainCitation":"(Doty, 1993)","dontUpdate":true,"noteIndex":0},"citationItems":[{"id":7140,"uris":["http://zotero.org/users/1623609/items/AMA69YCM"],"uri":["http://zotero.org/users/1623609/items/AMA69YCM"],"itemData":{"id":7140,"type":"article-journal","abstract":"Abstract. Much of the criticism directed at post-positivist international relations has called for more detailed exploration of its implications for specific ar","container-title":"International Studies Quarterly","DOI":"10.2307/2600810","ISSN":"0020-8833","issue":"3","journalAbbreviation":"Int Stud Q","language":"en","note":"publisher: Oxford Academic","page":"297-320","source":"academic.oup.com","title":"Foreign Policy as Social Construction: A Post-Positivist Analysis of U.S. Counterinsurgency Policy in the Philippines","title-short":"Foreign Policy as Social Construction","volume":"37","author":[{"family":"Doty","given":"Roxanne Lynn"}],"issued":{"date-parts":[["1993",9,1]]}}}],"schema":"https://github.com/citation-style-language/schema/raw/master/csl-citation.json"}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(Doty 1993)</w:t>
      </w:r>
      <w:r w:rsidRPr="008B66EC">
        <w:rPr>
          <w:rFonts w:ascii="Times New Roman" w:hAnsi="Times New Roman"/>
          <w:sz w:val="24"/>
        </w:rPr>
        <w:fldChar w:fldCharType="end"/>
      </w:r>
      <w:r w:rsidRPr="008B66EC">
        <w:rPr>
          <w:rFonts w:ascii="Times New Roman" w:hAnsi="Times New Roman"/>
          <w:sz w:val="24"/>
        </w:rPr>
        <w:t xml:space="preserve">. </w:t>
      </w:r>
    </w:p>
    <w:p w14:paraId="10F3F92E" w14:textId="77777777" w:rsidR="00775EC9" w:rsidRPr="008B66EC" w:rsidRDefault="00775EC9" w:rsidP="00775EC9">
      <w:pPr>
        <w:spacing w:line="480" w:lineRule="auto"/>
        <w:ind w:firstLine="720"/>
        <w:rPr>
          <w:rFonts w:ascii="Times New Roman" w:hAnsi="Times New Roman"/>
          <w:sz w:val="24"/>
        </w:rPr>
      </w:pPr>
      <w:r w:rsidRPr="008B66EC">
        <w:rPr>
          <w:rFonts w:ascii="Times New Roman" w:hAnsi="Times New Roman"/>
          <w:sz w:val="24"/>
        </w:rPr>
        <w:t xml:space="preserve">The starting point of “how-possible” analysis is that policy decisions rest upon frequently tacit understandings of the nature policy problems and how it makes sense to approach them. How-possible questions “examine how meanings are produced and attached to various social subjects/objects, thus constituting particular interpretive dispositions which create certain possibilities and preclude others”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{"citationID":"ivckQrCi","properties":{"formattedCitation":"(Doty, 1993, p. 298)","plainCitation":"(Doty, 1993, p. 298)","dontUpdate":true,"noteIndex":0},"citationItems":[{"id":7140,"uris":["http://zotero.org/users/1623609/items/AMA69YCM"],"uri":["http://zotero.org/users/1623609/items/AMA69YCM"],"itemData":{"id":7140,"type":"article-journal","abstract":"Abstract. Much of the criticism directed at post-positivist international relations has called for more detailed exploration of its implications for specific ar","container-title":"International Studies Quarterly","DOI":"10.2307/2600810","ISSN":"0020-8833","issue":"3","journalAbbreviation":"Int Stud Q","language":"en","note":"publisher: Oxford Academic","page":"297-320","source":"academic.oup.com","title":"Foreign Policy as Social Construction: A Post-Positivist Analysis of U.S. Counterinsurgency Policy in the Philippines","title-short":"Foreign Policy as Social Construction","volume":"37","author":[{"family":"Doty","given":"Roxanne Lynn"}],"issued":{"date-parts":[["1993",9,1]]}},"locator":"298"}],"schema":"https://github.com/citation-style-language/schema/raw/master/csl-citation.json"}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(Doty 1993, 298)</w:t>
      </w:r>
      <w:r w:rsidRPr="008B66EC">
        <w:rPr>
          <w:rFonts w:ascii="Times New Roman" w:hAnsi="Times New Roman"/>
          <w:sz w:val="24"/>
        </w:rPr>
        <w:fldChar w:fldCharType="end"/>
      </w:r>
      <w:r w:rsidRPr="008B66EC">
        <w:rPr>
          <w:rFonts w:ascii="Times New Roman" w:hAnsi="Times New Roman"/>
          <w:sz w:val="24"/>
        </w:rPr>
        <w:t xml:space="preserve">. The focus is “not </w:t>
      </w:r>
      <w:r w:rsidRPr="008B66EC">
        <w:rPr>
          <w:rFonts w:ascii="Times New Roman" w:hAnsi="Times New Roman"/>
          <w:i/>
          <w:iCs/>
          <w:sz w:val="24"/>
        </w:rPr>
        <w:t>why</w:t>
      </w:r>
      <w:r w:rsidRPr="008B66EC">
        <w:rPr>
          <w:rFonts w:ascii="Times New Roman" w:hAnsi="Times New Roman"/>
          <w:sz w:val="24"/>
        </w:rPr>
        <w:t xml:space="preserve"> a particular course of action was chosen but </w:t>
      </w:r>
      <w:r w:rsidRPr="008B66EC">
        <w:rPr>
          <w:rFonts w:ascii="Times New Roman" w:hAnsi="Times New Roman"/>
          <w:i/>
          <w:iCs/>
          <w:sz w:val="24"/>
        </w:rPr>
        <w:t>how</w:t>
      </w:r>
      <w:r w:rsidRPr="008B66EC">
        <w:rPr>
          <w:rFonts w:ascii="Times New Roman" w:hAnsi="Times New Roman"/>
          <w:sz w:val="24"/>
        </w:rPr>
        <w:t xml:space="preserve"> it was possible, and indeed common-sensible”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{"citationID":"M2fTIkDm","properties":{"formattedCitation":"(Weldes, 1996, p. 284)","plainCitation":"(Weldes, 1996, p. 284)","dontUpdate":true,"noteIndex":0},"citationItems":[{"id":326,"uris":["http://zotero.org/users/1623609/items/UV7KD2E7"],"uri":["http://zotero.org/users/1623609/items/UV7KD2E7"],"itemData":{"id":326,"type":"article-journal","container-title":"European Journal of International Relations","DOI":"10.1177/1354066196002003001","ISSN":"1354-0661","issue":"3","page":"275-318","source":"CrossRef","title":"Constructing National Interests","volume":"2","author":[{"family":"Weldes","given":"J."}],"issued":{"date-parts":[["1996",9,1]]}},"locator":"284"}],"schema":"https://github.com/citation-style-language/schema/raw/master/csl-citation.json"}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(Weldes 1996, 284)</w:t>
      </w:r>
      <w:r w:rsidRPr="008B66EC">
        <w:rPr>
          <w:rFonts w:ascii="Times New Roman" w:hAnsi="Times New Roman"/>
          <w:sz w:val="24"/>
        </w:rPr>
        <w:fldChar w:fldCharType="end"/>
      </w:r>
      <w:r w:rsidRPr="008B66EC">
        <w:rPr>
          <w:rFonts w:ascii="Times New Roman" w:hAnsi="Times New Roman"/>
          <w:sz w:val="24"/>
        </w:rPr>
        <w:t>. Returning to Judy Griffith’s story as an example, interpretive dispositions toward immigration control today would “preclude” family immigrants arriving to settle legally in the UK without a visa – but not so in 1963. Likewise, on entry, the state issued Griffith only stamp in a passport, which she had rarely shown before 2014; at some point, the notion of routinely showing documents became naturalised. What led these concepts, not considered natural in the 1960s, to become “possible”?</w:t>
      </w:r>
    </w:p>
    <w:p w14:paraId="7AAB0BFC" w14:textId="77777777" w:rsidR="00775EC9" w:rsidRPr="008B66EC" w:rsidRDefault="00775EC9" w:rsidP="00775EC9">
      <w:pPr>
        <w:spacing w:line="480" w:lineRule="auto"/>
        <w:rPr>
          <w:rFonts w:ascii="Times New Roman" w:hAnsi="Times New Roman"/>
          <w:sz w:val="24"/>
        </w:rPr>
      </w:pPr>
    </w:p>
    <w:p w14:paraId="0EF7BE2F" w14:textId="77777777" w:rsidR="00775EC9" w:rsidRPr="008B66EC" w:rsidRDefault="00775EC9" w:rsidP="00775EC9">
      <w:pPr>
        <w:spacing w:line="480" w:lineRule="auto"/>
        <w:rPr>
          <w:rFonts w:ascii="Times New Roman" w:hAnsi="Times New Roman"/>
          <w:i/>
          <w:iCs/>
          <w:sz w:val="24"/>
        </w:rPr>
      </w:pPr>
      <w:r w:rsidRPr="008B66EC">
        <w:rPr>
          <w:rFonts w:ascii="Times New Roman" w:hAnsi="Times New Roman"/>
          <w:i/>
          <w:iCs/>
          <w:sz w:val="24"/>
        </w:rPr>
        <w:t>Methods</w:t>
      </w:r>
    </w:p>
    <w:p w14:paraId="5147B976" w14:textId="77777777" w:rsidR="00775EC9" w:rsidRPr="008B66EC" w:rsidRDefault="00775EC9" w:rsidP="00775EC9">
      <w:pPr>
        <w:spacing w:line="480" w:lineRule="auto"/>
        <w:ind w:firstLine="720"/>
        <w:rPr>
          <w:rFonts w:ascii="Times New Roman" w:hAnsi="Times New Roman"/>
          <w:sz w:val="24"/>
        </w:rPr>
      </w:pPr>
      <w:r w:rsidRPr="008B66EC">
        <w:rPr>
          <w:rFonts w:ascii="Times New Roman" w:hAnsi="Times New Roman"/>
          <w:sz w:val="24"/>
        </w:rPr>
        <w:t xml:space="preserve">Methodologically, how-possible questions may be addressed through an interpretivist process tracing approach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{"citationID":"CxGeEy0i","properties":{"formattedCitation":"(Robinson, 2017, p. 509)","plainCitation":"(Robinson, 2017, p. 509)","dontUpdate":true,"noteIndex":0},"citationItems":[{"id":7120,"uris":["http://zotero.org/users/1623609/items/YBXGIB8V"],"uri":["http://zotero.org/users/1623609/items/YBXGIB8V"],"itemData":{"id":7120,"type":"article-journal","abstract":"This article offers a process-mechanism explanation of securitization. To make the case for a process-mechanism account more concrete, I use interpretivist process tracing to explain the crisis episode of the Sun Sea, a Thai cargo ship carrying Sri Lankan asylum-seekers, and the securitization of irregular migration in Canada. Drawing on interviews and grey literature, the article shows how securitization was possible and under what conditions, and argues that ideational dispositions of security organizations induced state officials toward a security interpretation of the the Sun Sea. The article aims to demonstrate that process-mechanism explanations represent a compelling methodological alternative with which to trace and explain securitization. The article sees itself as part of a broader refinement of a sociological variant of securitization theory. It seeks to examine and enhance the contribution that this ‘post-Copenhagen’ approach – its core assumptions and theoretical framework – makes to the analysis of securitization.","container-title":"Security Dialogue","DOI":"10.1177/0967010617721872","ISSN":"0967-0106","issue":"6","journalAbbreviation":"Security Dialogue","language":"en","note":"publisher: SAGE Publications Ltd","page":"505-523","source":"SAGE Journals","title":"Tracing and explaining securitization: Social mechanisms, process tracing and the securitization of irregular migration","title-short":"Tracing and explaining securitization","volume":"48","author":[{"family":"Robinson","given":"Corey"}],"issued":{"date-parts":[["2017",12,1]]}},"locator":"509"}],"schema":"https://github.com/citation-style-language/schema/raw/master/csl-citation.json"}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(Robinson 2017, 509)</w:t>
      </w:r>
      <w:r w:rsidRPr="008B66EC">
        <w:rPr>
          <w:rFonts w:ascii="Times New Roman" w:hAnsi="Times New Roman"/>
          <w:sz w:val="24"/>
        </w:rPr>
        <w:fldChar w:fldCharType="end"/>
      </w:r>
      <w:r w:rsidRPr="008B66EC">
        <w:rPr>
          <w:rFonts w:ascii="Times New Roman" w:hAnsi="Times New Roman"/>
          <w:sz w:val="24"/>
        </w:rPr>
        <w:t xml:space="preserve"> that reconstructs policy processes by understanding how policymakers “renegotiate[d] their internal and external roles” vis-à-vis </w:t>
      </w:r>
      <w:r w:rsidRPr="008B66EC">
        <w:rPr>
          <w:rFonts w:ascii="Times New Roman" w:hAnsi="Times New Roman"/>
          <w:sz w:val="24"/>
        </w:rPr>
        <w:lastRenderedPageBreak/>
        <w:t xml:space="preserve">images of social problems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{"citationID":"TamZPDJg","properties":{"formattedCitation":"(Robinson, 2017, p. 512)","plainCitation":"(Robinson, 2017, p. 512)","dontUpdate":true,"noteIndex":0},"citationItems":[{"id":7120,"uris":["http://zotero.org/users/1623609/items/YBXGIB8V"],"uri":["http://zotero.org/users/1623609/items/YBXGIB8V"],"itemData":{"id":7120,"type":"article-journal","abstract":"This article offers a process-mechanism explanation of securitization. To make the case for a process-mechanism account more concrete, I use interpretivist process tracing to explain the crisis episode of the Sun Sea, a Thai cargo ship carrying Sri Lankan asylum-seekers, and the securitization of irregular migration in Canada. Drawing on interviews and grey literature, the article shows how securitization was possible and under what conditions, and argues that ideational dispositions of security organizations induced state officials toward a security interpretation of the the Sun Sea. The article aims to demonstrate that process-mechanism explanations represent a compelling methodological alternative with which to trace and explain securitization. The article sees itself as part of a broader refinement of a sociological variant of securitization theory. It seeks to examine and enhance the contribution that this ‘post-Copenhagen’ approach – its core assumptions and theoretical framework – makes to the analysis of securitization.","container-title":"Security Dialogue","DOI":"10.1177/0967010617721872","ISSN":"0967-0106","issue":"6","journalAbbreviation":"Security Dialogue","language":"en","note":"publisher: SAGE Publications Ltd","page":"505-523","source":"SAGE Journals","title":"Tracing and explaining securitization: Social mechanisms, process tracing and the securitization of irregular migration","title-short":"Tracing and explaining securitization","volume":"48","author":[{"family":"Robinson","given":"Corey"}],"issued":{"date-parts":[["2017",12,1]]}},"locator":"512"}],"schema":"https://github.com/citation-style-language/schema/raw/master/csl-citation.json"}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(Robinson 2017, 512)</w:t>
      </w:r>
      <w:r w:rsidRPr="008B66EC">
        <w:rPr>
          <w:rFonts w:ascii="Times New Roman" w:hAnsi="Times New Roman"/>
          <w:sz w:val="24"/>
        </w:rPr>
        <w:fldChar w:fldCharType="end"/>
      </w:r>
      <w:r w:rsidRPr="008B66EC">
        <w:rPr>
          <w:rFonts w:ascii="Times New Roman" w:hAnsi="Times New Roman"/>
          <w:sz w:val="24"/>
        </w:rPr>
        <w:t xml:space="preserve">. This can achieve insight into the interrelationship among the ideas producing policy change – ideas that “define the problems to be solved by such policies; the issues to be considered; the goals to be achieved; the norms, methods and instruments to be applied”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{"citationID":"CqoKq24M","properties":{"formattedCitation":"(Schmidt, 2008, p. 306)","plainCitation":"(Schmidt, 2008, p. 306)","noteIndex":0},"citationItems":[{"id":8144,"uris":["http://zotero.org/users/1623609/items/LP78WZLC"],"uri":["http://zotero.org/users/1623609/items/LP78WZLC"],"itemData":{"id":8144,"type":"article-journal","abstract":"The newest “new institutionalism,” discursive institutionalism, lends insight into the role of ideas and discourse in politics while providing a more dynamic approach to institutional change than the older three new institutionalisms. Ideas are the substantive content of discourse. They exist at three levels—policies, programs, and philosophies—and can be categorized into two types, cognitive and normative. Discourse is the interactive process of conveying ideas. It comes in two forms: the coordinative discourse among policy actors and the communicative discourse between political actors and the public. These forms differ in two formal institutional contexts; simple polities have a stronger communicative discourse and compound polities a stronger coordinative discourse. The institutions of discursive institutionalism, moreover, are not external-rule-following structures but rather are simultaneously structures and constructs internal to agents whose “background ideational abilities” within a given “meaning context” explain how institutions are created and exist and whose “foreground discursive abilities,” following a “logic of communication,” explain how institutions change or persist. Interests are subjective ideas, which, though real, are neither objective nor material. Norms are dynamic, intersubjective constructs rather than static structures.","container-title":"Annual Review of Political Science","DOI":"10.1146/annurev.polisci.11.060606.135342","issue":"1","note":"_eprint: https://doi.org/10.1146/annurev.polisci.11.060606.135342","page":"303-326","source":"Annual Reviews","title":"Discursive Institutionalism: The Explanatory Power of Ideas and Discourse","title-short":"Discursive Institutionalism","volume":"11","author":[{"family":"Schmidt","given":"Vivien A."}],"issued":{"date-parts":[["2008"]]}},"locator":"306"}],"schema":"https://github.com/citation-style-language/schema/raw/master/csl-citation.json"}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(Schmidt 2008, 306)</w:t>
      </w:r>
      <w:r w:rsidRPr="008B66EC">
        <w:rPr>
          <w:rFonts w:ascii="Times New Roman" w:hAnsi="Times New Roman"/>
          <w:sz w:val="24"/>
        </w:rPr>
        <w:fldChar w:fldCharType="end"/>
      </w:r>
      <w:r w:rsidRPr="008B66EC">
        <w:rPr>
          <w:rFonts w:ascii="Times New Roman" w:hAnsi="Times New Roman"/>
          <w:sz w:val="24"/>
        </w:rPr>
        <w:t xml:space="preserve">. To access how “particular interpretive dispositions”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{"citationID":"5JRKlFe7","properties":{"formattedCitation":"(Doty, 1993, p. 298)","plainCitation":"(Doty, 1993, p. 298)","dontUpdate":true,"noteIndex":0},"citationItems":[{"id":7140,"uris":["http://zotero.org/users/1623609/items/AMA69YCM"],"uri":["http://zotero.org/users/1623609/items/AMA69YCM"],"itemData":{"id":7140,"type":"article-journal","abstract":"Abstract. Much of the criticism directed at post-positivist international relations has called for more detailed exploration of its implications for specific ar","container-title":"International Studies Quarterly","DOI":"10.2307/2600810","ISSN":"0020-8833","issue":"3","journalAbbreviation":"Int Stud Q","language":"en","note":"publisher: Oxford Academic","page":"297-320","source":"academic.oup.com","title":"Foreign Policy as Social Construction: A Post-Positivist Analysis of U.S. Counterinsurgency Policy in the Philippines","title-short":"Foreign Policy as Social Construction","volume":"37","author":[{"family":"Doty","given":"Roxanne Lynn"}],"issued":{"date-parts":[["1993",9,1]]}},"locator":"298"}],"schema":"https://github.com/citation-style-language/schema/raw/master/csl-citation.json"}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(Doty 1993, 298)</w:t>
      </w:r>
      <w:r w:rsidRPr="008B66EC">
        <w:rPr>
          <w:rFonts w:ascii="Times New Roman" w:hAnsi="Times New Roman"/>
          <w:sz w:val="24"/>
        </w:rPr>
        <w:fldChar w:fldCharType="end"/>
      </w:r>
      <w:r w:rsidRPr="008B66EC">
        <w:rPr>
          <w:rFonts w:ascii="Times New Roman" w:hAnsi="Times New Roman"/>
          <w:sz w:val="24"/>
        </w:rPr>
        <w:t xml:space="preserve"> have developed, evidence of deliberative processes within public administration is crucial. As naturalised interpretations often become tacit, focusing on periods of “puzzling”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{"citationID":"HqavrMt4","properties":{"formattedCitation":"(Hoppe, 2011)","plainCitation":"(Hoppe, 2011)","dontUpdate":true,"noteIndex":0},"citationItems":[{"id":4824,"uris":["http://zotero.org/groups/710893/items/LJVSW55W"],"uri":["http://zotero.org/groups/710893/items/LJVSW55W"],"itemData":{"id":4824,"type":"book","abstract":"Contemporary democracies need to develop a better governance of problems, as all too often, policy is a sophisticated answer to the wrong problem. This book offers a compelling new approach to public policy-making as problem processing, bringing together aspects of puzzling, powering and participation, relating them in interesting and different ways to cultural theory, to issues about networks, to models of democracy and modes of citizen participation. Part of a growing body of work in policy analysis literature, the book is clearly written and accessibly presented, making this an ideal text for academics and postgraduate students.","event-place":"Bristol","ISBN":"978-1-84742-962-9","language":"en","note":"Google-Books-ID: lpzg3QOhGYsC","number-of-pages":"314","publisher":"Policy Press","publisher-place":"Bristol","source":"Google Books","title":"The Governance of Problems: Puzzling, Powering and Participation","title-short":"The Governance of Problems","author":[{"family":"Hoppe","given":"Robert"}],"issued":{"date-parts":[["2011"]]}}}],"schema":"https://github.com/citation-style-language/schema/raw/master/csl-citation.json"}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(Hoppe 2011)</w:t>
      </w:r>
      <w:r w:rsidRPr="008B66EC">
        <w:rPr>
          <w:rFonts w:ascii="Times New Roman" w:hAnsi="Times New Roman"/>
          <w:sz w:val="24"/>
        </w:rPr>
        <w:fldChar w:fldCharType="end"/>
      </w:r>
      <w:r w:rsidRPr="008B66EC">
        <w:rPr>
          <w:rFonts w:ascii="Times New Roman" w:hAnsi="Times New Roman"/>
          <w:sz w:val="24"/>
        </w:rPr>
        <w:t xml:space="preserve"> – when particular interpretations are being deliberated – is key. </w:t>
      </w:r>
    </w:p>
    <w:p w14:paraId="47A2BA09"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sz w:val="24"/>
        </w:rPr>
        <w:t>To do so, this article analyses 10,000 pages of official documents in the UK National Archives, dating from 1963, after the Commonwealth Immigrants Act 1962 was enacted, until 1973, when the UK implemented the Immigration Act 1971, still the legislative foundation of UK immigration control. These documents are drawn mainly from Home Office files, but also include documents from involved departments like the Foreign and Commonwealth Office and Cabinet Office. T</w:t>
      </w:r>
      <w:r w:rsidRPr="008B66EC">
        <w:rPr>
          <w:rFonts w:ascii="Times New Roman" w:hAnsi="Times New Roman" w:cs="Times New Roman"/>
          <w:sz w:val="24"/>
          <w:szCs w:val="24"/>
        </w:rPr>
        <w:t>his article then analyses the legacies of changes identified during that period by drawing from 27 semi-structured interviews with UK immigration policy actors active from the late 1980s to the 2010s (a period for which official documents remain largely sealed), leading up to the Windrush Scandal. The interview sample mainly comprised high-ranking civil servants in the Home Office, sampled for their likely knowledge of both administrative and political challenges in the area, but also includes political advisers and some members of external policy networks. The interviews lasted roughly an hour each, were largely in person (three were phone interviews), and are drawn from two interview rounds (seven interviews took place in 2012, and 20 in 2017-2018). The following section analyses policy changes in the 1963-1973 period, before a further section compares recent interview data against earlier archival evidence, to draw out lasting interpretive legacies of earlier policy shifts.</w:t>
      </w:r>
    </w:p>
    <w:p w14:paraId="48C7C0C3" w14:textId="77777777" w:rsidR="00775EC9" w:rsidRPr="008B66EC" w:rsidRDefault="00775EC9" w:rsidP="00775EC9">
      <w:pPr>
        <w:spacing w:line="480" w:lineRule="auto"/>
        <w:rPr>
          <w:rFonts w:ascii="Times New Roman" w:hAnsi="Times New Roman" w:cs="Times New Roman"/>
          <w:sz w:val="24"/>
          <w:szCs w:val="24"/>
        </w:rPr>
      </w:pPr>
    </w:p>
    <w:p w14:paraId="323ADC59" w14:textId="77777777" w:rsidR="00775EC9" w:rsidRPr="008B66EC"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b/>
          <w:sz w:val="24"/>
          <w:szCs w:val="24"/>
        </w:rPr>
        <w:t>The Shift to Individualised Control of Postcolonial Immigration: 1963-1973</w:t>
      </w:r>
    </w:p>
    <w:p w14:paraId="1723FE34" w14:textId="77777777" w:rsidR="00775EC9" w:rsidRPr="008B66EC" w:rsidRDefault="00775EC9" w:rsidP="00775EC9">
      <w:pPr>
        <w:spacing w:line="480" w:lineRule="auto"/>
      </w:pPr>
      <w:r w:rsidRPr="008B66EC">
        <w:rPr>
          <w:rFonts w:ascii="Times New Roman" w:hAnsi="Times New Roman" w:cs="Times New Roman"/>
          <w:sz w:val="24"/>
          <w:szCs w:val="24"/>
        </w:rPr>
        <w:tab/>
        <w:t xml:space="preserve">Between 1963 and 1973 – when many Windrush victims, particularly those who immigrated as children, arrived in Britain – the UK’s approach to controlling postcolonial immigration shifted from an initial aggregate model, which deemphasised the policing of individual compliance, to an individualised model which sought to reduce immigration volumes through stricter individualised scrutiny and monitoring. The aggregate control model was enacted by the Commonwealth Immigrants Act 1962, the UK’s first legislation to restrict immigrants from the Commonwealth (the former British Empire), who held varieties of post-imperial citizenship allowing them to migrate freely to the UK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{"citationID":"psD33hWe","properties":{"formattedCitation":"(Hansen, 2000)","plainCitation":"(Hansen, 2000)","dontUpdate":true,"noteIndex":0},"citationItems":[{"id":526,"uris":["http://zotero.org/users/1623609/items/8W6XCIRQ"],"uri":["http://zotero.org/users/1623609/items/8W6XCIRQ"],"itemData":{"id":526,"type":"book","event-place":"Oxford","publisher":"Oxford University Press","publisher-place":"Oxford","title":"Citizenship and Immigration in a Postwar Britain: The Institutional Origins of a Multicultural Nation","author":[{"family":"Hansen","given":"Randall"}],"issued":{"date-parts":[["2000"]]}}}],"schema":"https://github.com/citation-style-language/schema/raw/master/csl-citation.json"}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(Hansen 2000)</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The 1962 Act aimed for migration management in aggregate, “to keep a broad control on numbers rather than to control individuals” (“Skeleton of Home Secretary’s Paper,” n.d. [1964], TNA HO 344/172). The policy goal was reducing “addition to the volume of coloured immigration to this country” (“Draft Memorandum to the Commonwealth Immigration Committee,” n.d. [1965], TNA HO 344/281). Amidst an accelerating, explicit racialisation of immigration debates in the UK during this period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{"citationID":"PFNG6FKP","properties":{"formattedCitation":"(Small &amp; Solomos, 2006)","plainCitation":"(Small &amp; Solomos, 2006)","dontUpdate":true,"noteIndex":0},"citationItems":[{"id":8153,"uris":["http://zotero.org/users/1623609/items/EFXWR3US"],"uri":["http://zotero.org/users/1623609/items/EFXWR3US"],"itemData":{"id":8153,"type":"article-journal","abstract":"This article provides a description and interpretation of a series of key issues, debates and questions around immigration and race in Britain between the 1940s and the early 2000s. We highlight these issues and characterize some of the major theoretical models (and concepts) that have been deployed to interpret and explain them. Our primary concern here is with the main policies that helped to construct and frame immigration policies and the key domestic ‘race relations’ policies that were linked to them. We also provide a critique of the ways in which some of the most prominent academics during this period have contributed to the unfolding of these processes, in particular, how their work has been used to frame government thinking and policy formulation and implementation. We hope that our characterization of the main trajectory of policy and academic discourse over the past few decades will provide an opportunity for a more intensive evaluation of particular moments in this trajectory.","container-title":"International Journal of Comparative Sociology","DOI":"10.1177/0020715206065781","ISSN":"0020-7152","issue":"3-4","journalAbbreviation":"International Journal of Comparative Sociology","language":"en","note":"publisher: SAGE Publications Ltd","page":"235-257","source":"SAGE Journals","title":"Race, Immigration and Politics in Britain: Changing Policy Agendas and Conceptual Paradigms 1940s–2000s","title-short":"Race, Immigration and Politics in Britain","volume":"47","author":[{"family":"Small","given":"Stephen"},{"family":"Solomos","given":"John"}],"issued":{"date-parts":[["2006",8,1]]}}}],"schema":"https://github.com/citation-style-language/schema/raw/master/csl-citation.json"}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(Small &amp; Solomos 2006)</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managing Britain’s racial demographics at population level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{"citationID":"hzn4o1eC","properties":{"formattedCitation":"(Hampshire, 2005)","plainCitation":"(Hampshire, 2005)","dontUpdate":true,"noteIndex":0},"citationItems":[{"id":3701,"uris":["http://zotero.org/groups/710893/items/8MTSFMFU"],"uri":["http://zotero.org/groups/710893/items/8MTSFMFU"],"itemData":{"id":3701,"type":"book","event-place":"Basingstoke","publisher":"Palgrave Macmillan","publisher-place":"Basingstoke","title":"Citizenship and Belonging: Immigration and the Politics of Demographic Governance in Postwar Britain","author":[{"family":"Hampshire","given":"James"}],"issued":{"date-parts":[["2005"]]}}}],"schema":"https://github.com/citation-style-language/schema/raw/master/csl-citation.json"}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(Hampshire 2005)</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was the stated goal.</w:t>
      </w:r>
    </w:p>
    <w:p w14:paraId="5ADBC963" w14:textId="77777777" w:rsidR="00775EC9" w:rsidRPr="008B66EC"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sz w:val="24"/>
          <w:szCs w:val="24"/>
        </w:rPr>
        <w:tab/>
        <w:t xml:space="preserve">Though the 1962 Act created rules of eligibility to immigrate, it instituted few tools to ensure compliance or punish violations, deemphasising policing these criteria. The legislation created settlement eligibility for holders of a capped number of work vouchers, and for spouses and dependent children of future voucher holders and existing settled Commonwealth immigrants. Capping primary labour migrants aimed to produce corresponding reductions in family migration, and thus overall immigration levels, while Commonwealth students or visitors were to be admitted freely. However, Commonwealth </w:t>
      </w:r>
      <w:r w:rsidRPr="008B66EC">
        <w:rPr>
          <w:rFonts w:ascii="Times New Roman" w:hAnsi="Times New Roman" w:cs="Times New Roman"/>
          <w:sz w:val="24"/>
          <w:szCs w:val="24"/>
        </w:rPr>
        <w:lastRenderedPageBreak/>
        <w:t>citizens admitted to study, work, or join family were not monitored to ensure they did that, nor usually were they formally required to do so. Policymakers saw this immigration control system as distinctly ports-based; no system monitored after-entry activity. Immigration officers could inspect Commonwealth citizens up to 24 hours after arrival and return those deemed ineligible, but it was not an offense for Commonwealth immigrants to evade immigration control entirely. As one official explained, the new control system</w:t>
      </w:r>
    </w:p>
    <w:p w14:paraId="3CC9B328" w14:textId="77777777" w:rsidR="00775EC9" w:rsidRPr="008B66EC" w:rsidRDefault="00775EC9" w:rsidP="00775EC9">
      <w:pPr>
        <w:spacing w:line="480" w:lineRule="auto"/>
        <w:ind w:left="720"/>
        <w:rPr>
          <w:rFonts w:ascii="Times New Roman" w:hAnsi="Times New Roman"/>
          <w:sz w:val="24"/>
          <w:szCs w:val="24"/>
        </w:rPr>
      </w:pPr>
      <w:r w:rsidRPr="008B66EC">
        <w:rPr>
          <w:rFonts w:ascii="Times New Roman" w:hAnsi="Times New Roman"/>
          <w:sz w:val="24"/>
          <w:szCs w:val="24"/>
        </w:rPr>
        <w:t>was never intended to operate as a fine-toothed instrument; the main purpose was to achieve a significant reduction in the total volume of immigration while at the same time, enabling those who were given a statutory right to come to the United Kingdom to get here without more trouble than absolutely necessary, either to them as individuals or to the authorities. (Wood to Ream, 14 Aug. 1963, TNA HO 344/95)</w:t>
      </w:r>
    </w:p>
    <w:p w14:paraId="20EAD75B"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This model contrasted with the one already operating for “aliens,” foreigners from outside the Commonwealth, including continental Europe. Predominantly white, aliens were considered politically uncontroversial and likely to return home. The aliens system focused on verifying that admitted individuals filled specific labour market gaps or social (e.g. family) roles, but imposed no numerical caps, since that would potentially obstruct seeing such gaps filled. Aliens immigrating to work were required to have a specific job offer, to work in that position, and to register with the police – none of which were required for Commonwealth immigrants.</w:t>
      </w:r>
    </w:p>
    <w:p w14:paraId="6C547F05" w14:textId="77777777" w:rsidR="00775EC9" w:rsidRPr="008B66EC" w:rsidRDefault="00775EC9" w:rsidP="00775EC9">
      <w:pPr>
        <w:spacing w:line="480" w:lineRule="auto"/>
        <w:ind w:firstLine="720"/>
        <w:rPr>
          <w:rFonts w:ascii="Times New Roman" w:hAnsi="Times New Roman"/>
          <w:sz w:val="24"/>
          <w:szCs w:val="24"/>
        </w:rPr>
      </w:pPr>
      <w:r w:rsidRPr="008B66EC">
        <w:rPr>
          <w:rFonts w:ascii="Times New Roman" w:hAnsi="Times New Roman" w:cs="Times New Roman"/>
          <w:sz w:val="24"/>
          <w:szCs w:val="24"/>
        </w:rPr>
        <w:t xml:space="preserve">Three main reasons underlay this difference in policy design. First was the foreign policy-oriented concern of retaining relative privilege for Commonwealth citizens, which included white immigrants from “Old Commonwealth” settler colonies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{"citationID":"aiJ51PQ3","properties":{"formattedCitation":"(Hansen, 2000)","plainCitation":"(Hansen, 2000)","dontUpdate":true,"noteIndex":0},"citationItems":[{"id":526,"uris":["http://zotero.org/users/1623609/items/8W6XCIRQ"],"uri":["http://zotero.org/users/1623609/items/8W6XCIRQ"],"itemData":{"id":526,"type":"book","event-place":"Oxford","publisher":"Oxford University Press","publisher-place":"Oxford","title":"Citizenship and Immigration in a Postwar Britain: The Institutional Origins of a Multicultural Nation","author":[{"family":"Hansen","given":"Randall"}],"issued":{"date-parts":[["2000"]]}}}],"schema":"https://github.com/citation-style-language/schema/raw/master/csl-citation.json"}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(Hansen 2000)</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Second was that policymakers perceived that Commonwealth labour migrants mostly would permanently settle, and subjecting them to continued monitoring or limiting family </w:t>
      </w:r>
      <w:r w:rsidRPr="008B66EC">
        <w:rPr>
          <w:rFonts w:ascii="Times New Roman" w:hAnsi="Times New Roman" w:cs="Times New Roman"/>
          <w:sz w:val="24"/>
          <w:szCs w:val="24"/>
        </w:rPr>
        <w:lastRenderedPageBreak/>
        <w:t xml:space="preserve">reunification rights could hinder integration and thus damage “race relations.” Third was a sense of operational difficulty, reflecting awareness of gaps in state monitoring and enforcement capacity, characteristic of UK administration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{"citationID":"DHLZyofg","properties":{"formattedCitation":"(Boswell &amp; Badenhoop, 2021)","plainCitation":"(Boswell &amp; Badenhoop, 2021)","dontUpdate":true,"noteIndex":0},"citationItems":[{"id":7536,"uris":["http://zotero.org/users/1623609/items/TPURLTN4"],"uri":["http://zotero.org/users/1623609/items/TPURLTN4"],"itemData":{"id":7536,"type":"article-journal","abstract":"While there is extensive literature on states and knowledge, there has been little focus on state ignorance: instances where states are identified as lacking knowledge relevant to addressing social problems. We present the first systematic analysis of how states perceive and respond to ignorance, developing a typology of responses (denial, resignation, and elucidation). We test and refine the typology through analyzing state ignorance of unauthorized migration in Germany and the UK, 1990–2006. Public authorities in both countries responded to ignorance through both denial and resignation. However, variations in control infrastructures and bureaucratic cultures meant that “resignation” took distinct forms. In the UK, pragmatism about the limitations of state capacity implied that officials were sanguine about their “ignorance,” with pressure emanating from external political scrutiny. In Germany, by contrast, officials faced an acute conflict between bureaucratic and legal norms of the rule of law, and constraints to enforcement. Both cases reveal profound state ambivalence about elucidating social problems over which they have limited control.","container-title":"Governance","DOI":"https://doi.org/10.1111/gove.12499","ISSN":"1468-0491","issue":"2","language":"en","note":"_eprint: https://onlinelibrary.wiley.com/doi/pdf/10.1111/gove.12499","page":"335-352","source":"Wiley Online Library","title":"“What isn't in the files, isn't in the world”: Understanding state ignorance of irregular migration in Germany and the United Kingdom","title-short":"“What isn't in the files, isn't in the world”","volume":"34","author":[{"family":"Boswell","given":"Christina"},{"family":"Badenhoop","given":"Elisabeth"}],"issued":{"date-parts":[["2021"]]}}}],"schema":"https://github.com/citation-style-language/schema/raw/master/csl-citation.json"}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(Boswell &amp; Badenhoop 2021)</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Officials thought that scrutinising Commonwealth immigrants would be resource-intensive, counterproductive, and mostly immaterial to reducing numbers: </w:t>
      </w:r>
      <w:r w:rsidRPr="008B66EC">
        <w:rPr>
          <w:rFonts w:ascii="Times New Roman" w:eastAsia="Times New Roman" w:hAnsi="Times New Roman" w:cs="Times New Roman"/>
          <w:sz w:val="24"/>
          <w:szCs w:val="24"/>
          <w:lang w:eastAsia="en-GB"/>
        </w:rPr>
        <w:t>“Even the full aliens system would be difficult to apply effectively to citizens of the new Commonwealth because those who wanted to evade the control could too often disappear</w:t>
      </w:r>
      <w:r w:rsidRPr="008B66EC">
        <w:rPr>
          <w:rFonts w:ascii="Times New Roman" w:hAnsi="Times New Roman" w:cs="Times New Roman"/>
          <w:sz w:val="24"/>
          <w:szCs w:val="24"/>
        </w:rPr>
        <w:t xml:space="preserve">” </w:t>
      </w:r>
      <w:r w:rsidRPr="008B66EC">
        <w:rPr>
          <w:rFonts w:ascii="Times New Roman" w:eastAsia="Times New Roman" w:hAnsi="Times New Roman" w:cs="Times New Roman"/>
          <w:sz w:val="24"/>
          <w:szCs w:val="24"/>
          <w:lang w:eastAsia="en-GB"/>
        </w:rPr>
        <w:t>(Cunningham to Soskice, 24 November 1964, TNA HO 344/65)</w:t>
      </w:r>
      <w:r w:rsidRPr="008B66EC">
        <w:rPr>
          <w:rFonts w:ascii="Times New Roman" w:hAnsi="Times New Roman"/>
          <w:sz w:val="24"/>
          <w:szCs w:val="24"/>
        </w:rPr>
        <w:t xml:space="preserve">. </w:t>
      </w:r>
    </w:p>
    <w:p w14:paraId="0099CF2B" w14:textId="77777777" w:rsidR="00775EC9" w:rsidRPr="008B66EC" w:rsidRDefault="00775EC9" w:rsidP="00775EC9">
      <w:pPr>
        <w:spacing w:line="480" w:lineRule="auto"/>
        <w:ind w:firstLine="720"/>
        <w:rPr>
          <w:rFonts w:ascii="Times New Roman" w:hAnsi="Times New Roman"/>
          <w:sz w:val="24"/>
          <w:szCs w:val="24"/>
        </w:rPr>
      </w:pPr>
      <w:r w:rsidRPr="008B66EC">
        <w:rPr>
          <w:rFonts w:ascii="Times New Roman" w:hAnsi="Times New Roman" w:cs="Times New Roman"/>
          <w:sz w:val="24"/>
          <w:szCs w:val="24"/>
        </w:rPr>
        <w:t>This view that attempting tighter individual scrutiny was not in the state’s interest connected to an approach hesitant toward limiting the formal rights of immigrants once present in Britain. Policymakers’ concept of “race relations” prompted dramatic curtailments of the mobility rights of hundreds of millions of racialised people, while simultaneously holding that, within British society itself, “race relations” would be damaged by state control or monitoring practices that may be perceived as too unfair to, and antagonise, settled minorities. The post-1962 system thus accorded with official caution about increasing internal and port-based scrutiny. Data on grants of settlement versus refusals underlines how Commonwealth immigrants’ accounts of entitlement to entry at ports initially were treated relatively unsuspiciously (TNA HO 344/197). Accordingly, the system did not emphasise individual documentation: while a passport was required to enter the UK, only primary labour immigrants required further documentation (a work voucher). Once in Britain, Commonwealth immigrants possessed equal social, economic, and political rights, with no general obligation to comply with conditions or monitoring, or reapply for leave.</w:t>
      </w:r>
    </w:p>
    <w:p w14:paraId="27AD4AE9"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These parallel UK immigration control systems thus represented two simultaneously operating control models: An aggregate one meant to limit numbers of racialised postcolonial immigrants, where rigorous individual scrutiny was seen as inefficient, beside the point of </w:t>
      </w:r>
      <w:r w:rsidRPr="008B66EC">
        <w:rPr>
          <w:rFonts w:ascii="Times New Roman" w:hAnsi="Times New Roman" w:cs="Times New Roman"/>
          <w:sz w:val="24"/>
          <w:szCs w:val="24"/>
        </w:rPr>
        <w:lastRenderedPageBreak/>
        <w:t xml:space="preserve">numerical control, and averse to “race relations;” and an individualised one for aliens, which sought to verify and monitor individual immigrants’ eligibility and compliance through pre-entry screening, continued monitoring, and limited after-entry rights judged to befit immigrants who would mostly return home. </w:t>
      </w:r>
    </w:p>
    <w:p w14:paraId="3E1F9F84"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By 1973, however, reforms had largely erased these distinctions, elevating individualised control over Commonwealth immigrants as well. Why? </w:t>
      </w:r>
    </w:p>
    <w:p w14:paraId="5E376C3F"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From the mid-1960s, the purported failure to reduce non-white immigration enough became intertwined with the state’s supposed lack of strictness in catching rulebreakers. Commonwealth immigration reduced from a 1961 peak, but remained around late-1950s levels (about 50,000 per year). </w:t>
      </w:r>
      <w:r w:rsidRPr="008B66EC">
        <w:rPr>
          <w:rFonts w:ascii="Times New Roman" w:eastAsia="Times New Roman" w:hAnsi="Times New Roman" w:cs="Times New Roman"/>
          <w:sz w:val="24"/>
          <w:szCs w:val="24"/>
          <w:lang w:eastAsia="en-GB"/>
        </w:rPr>
        <w:t>Under the aggregate control model, the remedy was to reduce the number of people from ex-colonies entitled to immigrate</w:t>
      </w:r>
      <w:r w:rsidRPr="008B66EC">
        <w:rPr>
          <w:rFonts w:ascii="Times New Roman" w:hAnsi="Times New Roman" w:cs="Times New Roman"/>
          <w:sz w:val="24"/>
          <w:szCs w:val="24"/>
        </w:rPr>
        <w:t>, by limiting immigration of new heads of households and, consequently, their family</w:t>
      </w:r>
      <w:r w:rsidRPr="008B66EC">
        <w:rPr>
          <w:rFonts w:ascii="Times New Roman" w:eastAsia="Times New Roman" w:hAnsi="Times New Roman" w:cs="Times New Roman"/>
          <w:sz w:val="24"/>
          <w:szCs w:val="24"/>
          <w:lang w:eastAsia="en-GB"/>
        </w:rPr>
        <w:t>. Believing that fraud was not widespread, officials accepted this system as pragmatic, albeit loose. As one Home Office policymaker wrote, “</w:t>
      </w:r>
      <w:r w:rsidRPr="008B66EC">
        <w:rPr>
          <w:rFonts w:ascii="Times New Roman" w:hAnsi="Times New Roman"/>
          <w:sz w:val="24"/>
        </w:rPr>
        <w:t>We have been assuming that, in the long term, reduction in the number of vouchers is bound to lead to a decline in the number of dependants…. However, we really have no information about this” (Otton to Lodge, 8 Jan. 1968, TNA HO 344/205).</w:t>
      </w:r>
      <w:r w:rsidRPr="008B66EC">
        <w:rPr>
          <w:rFonts w:ascii="Times New Roman" w:hAnsi="Times New Roman" w:cs="Times New Roman"/>
          <w:sz w:val="24"/>
          <w:szCs w:val="24"/>
        </w:rPr>
        <w:t xml:space="preserve"> </w:t>
      </w:r>
    </w:p>
    <w:p w14:paraId="0F409497"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Criticism of this system steadily escalated. In 1965, responding to politicised concerns that Commonwealth immigration remained too high, the Labour Party government employed the 1962 Act’s key policy levers, lowering the work voucher cap and ending discretionary concessions permitting settlement by more distantly related family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{"citationID":"6zymMb9M","properties":{"formattedCitation":"({\\i{}Immigration from the Commonwealth}, 1965)","plainCitation":"(Immigration from the Commonwealth, 1965)","dontUpdate":true,"noteIndex":0},"citationItems":[{"id":3960,"uris":["http://zotero.org/groups/710893/items/V6B38SDR"],"uri":["http://zotero.org/groups/710893/items/V6B38SDR"],"itemData":{"id":3960,"type":"report","event-place":"London","genre":"White paper","number":"Cmnd. 2739","publisher":"HMSO","publisher-place":"London","title":"Immigration from the Commonwealth","issued":{"date-parts":[["1965"]]}}}],"schema":"https://github.com/citation-style-language/schema/raw/master/csl-citation.json"}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w:t>
      </w:r>
      <w:r w:rsidRPr="008B66EC">
        <w:rPr>
          <w:rFonts w:ascii="Times New Roman" w:hAnsi="Times New Roman" w:cs="Times New Roman"/>
          <w:i/>
          <w:iCs/>
          <w:sz w:val="24"/>
          <w:szCs w:val="24"/>
        </w:rPr>
        <w:t>Immigration from the Commonwealth</w:t>
      </w:r>
      <w:r w:rsidRPr="008B66EC">
        <w:rPr>
          <w:rFonts w:ascii="Times New Roman" w:hAnsi="Times New Roman" w:cs="Times New Roman"/>
          <w:sz w:val="24"/>
          <w:szCs w:val="24"/>
        </w:rPr>
        <w:t xml:space="preserve"> 1965)</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Amid controversies over immigration rates, lack of control over Commonwealth immigrants at an individualised level began to be raised in Parliament </w:t>
      </w:r>
      <w:r w:rsidRPr="008B66EC">
        <w:rPr>
          <w:rFonts w:ascii="Times New Roman" w:hAnsi="Times New Roman"/>
          <w:sz w:val="24"/>
          <w:szCs w:val="24"/>
        </w:rPr>
        <w:t>(HL Deb 10 March 1965, vol 264, col 70)</w:t>
      </w:r>
      <w:r w:rsidRPr="008B66EC">
        <w:rPr>
          <w:rFonts w:ascii="Times New Roman" w:hAnsi="Times New Roman" w:cs="Times New Roman"/>
          <w:sz w:val="24"/>
          <w:szCs w:val="24"/>
        </w:rPr>
        <w:t>. While the government promised greater</w:t>
      </w:r>
      <w:r w:rsidRPr="008B66EC">
        <w:rPr>
          <w:rFonts w:ascii="Times New Roman" w:eastAsia="Times New Roman" w:hAnsi="Times New Roman" w:cs="Times New Roman"/>
          <w:sz w:val="24"/>
          <w:szCs w:val="24"/>
          <w:lang w:eastAsia="en-GB"/>
        </w:rPr>
        <w:t xml:space="preserve"> scrutiny at the ports, initially, the aggregate logic largely held; the home secretary still accepted </w:t>
      </w:r>
      <w:r w:rsidRPr="008B66EC">
        <w:rPr>
          <w:rFonts w:ascii="Times New Roman" w:hAnsi="Times New Roman" w:cs="Times New Roman"/>
          <w:sz w:val="24"/>
          <w:szCs w:val="24"/>
        </w:rPr>
        <w:t>“</w:t>
      </w:r>
      <w:r w:rsidRPr="008B66EC">
        <w:rPr>
          <w:rFonts w:ascii="Times New Roman" w:eastAsia="Times New Roman" w:hAnsi="Times New Roman" w:cs="Times New Roman"/>
          <w:sz w:val="24"/>
          <w:szCs w:val="24"/>
          <w:lang w:eastAsia="en-GB"/>
        </w:rPr>
        <w:t xml:space="preserve">it would be </w:t>
      </w:r>
      <w:r w:rsidRPr="008B66EC">
        <w:rPr>
          <w:rFonts w:ascii="Times New Roman" w:eastAsia="Times New Roman" w:hAnsi="Times New Roman" w:cs="Times New Roman"/>
          <w:sz w:val="24"/>
          <w:szCs w:val="24"/>
          <w:lang w:eastAsia="en-GB"/>
        </w:rPr>
        <w:lastRenderedPageBreak/>
        <w:t>highly invidious to apply the full system at present in force in regard to aliens” (Soskice to Cunningham, 18 Nov. 1964, TNA HO 344/65).</w:t>
      </w:r>
      <w:r w:rsidRPr="008B66EC">
        <w:rPr>
          <w:rFonts w:ascii="Times New Roman" w:hAnsi="Times New Roman" w:cs="Times New Roman"/>
          <w:sz w:val="24"/>
          <w:szCs w:val="24"/>
        </w:rPr>
        <w:t xml:space="preserve"> </w:t>
      </w:r>
    </w:p>
    <w:p w14:paraId="3B912751"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eastAsia="Times New Roman" w:hAnsi="Times New Roman" w:cs="Times New Roman"/>
          <w:sz w:val="24"/>
          <w:szCs w:val="24"/>
          <w:lang w:eastAsia="en-GB"/>
        </w:rPr>
        <w:t>Nonetheless, pressures increased as, after 1965, child dependants began to dominate persistent Commonwealth settlement figures, and</w:t>
      </w:r>
      <w:r w:rsidRPr="008B66EC">
        <w:rPr>
          <w:rFonts w:ascii="Times New Roman" w:hAnsi="Times New Roman"/>
          <w:sz w:val="24"/>
          <w:szCs w:val="24"/>
        </w:rPr>
        <w:t xml:space="preserve"> political discourse on immigration shifted toward punitive images</w:t>
      </w:r>
      <w:r w:rsidRPr="008B66EC">
        <w:rPr>
          <w:rFonts w:ascii="Times New Roman" w:eastAsia="Times New Roman" w:hAnsi="Times New Roman" w:cs="Times New Roman"/>
          <w:sz w:val="24"/>
          <w:szCs w:val="24"/>
          <w:lang w:eastAsia="en-GB"/>
        </w:rPr>
        <w:t xml:space="preserve">. </w:t>
      </w:r>
      <w:r w:rsidRPr="008B66EC">
        <w:rPr>
          <w:rFonts w:ascii="Times New Roman" w:hAnsi="Times New Roman"/>
          <w:sz w:val="24"/>
          <w:szCs w:val="24"/>
        </w:rPr>
        <w:t xml:space="preserve">While policymakers thought “evasion of the control” was overstated as a public problem and marginal to reducing immigration, the Home Office began responding to concerns about rulebreaking with symbolic policies increasing individualised scrutiny </w:t>
      </w:r>
      <w:r w:rsidRPr="008B66EC">
        <w:rPr>
          <w:rFonts w:ascii="Times New Roman" w:hAnsi="Times New Roman"/>
          <w:sz w:val="24"/>
          <w:szCs w:val="24"/>
        </w:rPr>
        <w:fldChar w:fldCharType="begin"/>
      </w:r>
      <w:r w:rsidRPr="008B66EC">
        <w:rPr>
          <w:rFonts w:ascii="Times New Roman" w:hAnsi="Times New Roman"/>
          <w:sz w:val="24"/>
          <w:szCs w:val="24"/>
        </w:rPr>
        <w:instrText xml:space="preserve"> ADDIN ZOTERO_ITEM CSL_CITATION {"citationID":"0Lx2oWDm","properties":{"formattedCitation":"(Slaven &amp; Boswell, 2019)","plainCitation":"(Slaven &amp; Boswell, 2019)","dontUpdate":true,"noteIndex":0},"citationItems":[{"id":4301,"uris":["http://zotero.org/users/1623609/items/JMMQHJ7Z"],"uri":["http://zotero.org/users/1623609/items/JMMQHJ7Z"],"itemData":{"id":4301,"type":"article-journal","abstract":"(2018). Why symbolise control? Irregular migration to the UK and symbolic policy-making in the 1960s. Journal of Ethnic and Migration Studies. Ahead of Print.","archive_location":"world","container-title":"Journal of Ethnic and Migration Studies","ISSN":"10.1080/1369183X.2018.1459522","issue":"9","language":"en","page":"1477-1495","source":"www.tandfonline.com","title":"Why symbolise control? Irregular migration to the UK and symbolic policy-making in the 1960s","title-short":"Why symbolise control?","volume":"45","author":[{"family":"Slaven","given":"Mike"},{"family":"Boswell","given":"Christina"}],"issued":{"date-parts":[["2019"]]}}}],"schema":"https://github.com/citation-style-language/schema/raw/master/csl-citation.json"} </w:instrText>
      </w:r>
      <w:r w:rsidRPr="008B66EC">
        <w:rPr>
          <w:rFonts w:ascii="Times New Roman" w:hAnsi="Times New Roman"/>
          <w:sz w:val="24"/>
          <w:szCs w:val="24"/>
        </w:rPr>
        <w:fldChar w:fldCharType="separate"/>
      </w:r>
      <w:r w:rsidRPr="008B66EC">
        <w:rPr>
          <w:rFonts w:ascii="Times New Roman" w:hAnsi="Times New Roman" w:cs="Times New Roman"/>
          <w:sz w:val="24"/>
        </w:rPr>
        <w:t>(Slaven &amp; Boswell 2019)</w:t>
      </w:r>
      <w:r w:rsidRPr="008B66EC">
        <w:rPr>
          <w:rFonts w:ascii="Times New Roman" w:hAnsi="Times New Roman"/>
          <w:sz w:val="24"/>
          <w:szCs w:val="24"/>
        </w:rPr>
        <w:fldChar w:fldCharType="end"/>
      </w:r>
      <w:r w:rsidRPr="008B66EC">
        <w:rPr>
          <w:rFonts w:ascii="Times New Roman" w:hAnsi="Times New Roman"/>
          <w:sz w:val="24"/>
          <w:szCs w:val="24"/>
        </w:rPr>
        <w:t>. Immigration officers</w:t>
      </w:r>
      <w:r w:rsidRPr="008B66EC">
        <w:rPr>
          <w:rFonts w:ascii="Times New Roman" w:eastAsia="Times New Roman" w:hAnsi="Times New Roman" w:cs="Times New Roman"/>
          <w:sz w:val="24"/>
          <w:szCs w:val="24"/>
          <w:lang w:eastAsia="en-GB"/>
        </w:rPr>
        <w:t xml:space="preserve"> eventually devoted greater effort to verifying the age and family relationships of child dependants, instituting </w:t>
      </w:r>
      <w:r w:rsidRPr="008B66EC">
        <w:rPr>
          <w:rFonts w:ascii="Times New Roman" w:hAnsi="Times New Roman"/>
          <w:sz w:val="24"/>
          <w:szCs w:val="24"/>
        </w:rPr>
        <w:t xml:space="preserve">increasingly invasive interrogation and physical examinations (“Brief No. 2: Commonwealth Immigration: Evasion,” Nov. 1968, TNA HO 344/55). While </w:t>
      </w:r>
      <w:r w:rsidRPr="008B66EC">
        <w:rPr>
          <w:rFonts w:ascii="Times New Roman" w:eastAsia="Times New Roman" w:hAnsi="Times New Roman" w:cs="Times New Roman"/>
          <w:sz w:val="24"/>
          <w:szCs w:val="24"/>
          <w:lang w:eastAsia="en-GB"/>
        </w:rPr>
        <w:t xml:space="preserve">port rejections accordingly increased, reaching 2,219 in 1967 from 429 in 1963 </w:t>
      </w:r>
      <w:r w:rsidRPr="008B66EC">
        <w:rPr>
          <w:rFonts w:ascii="Times New Roman" w:hAnsi="Times New Roman"/>
          <w:sz w:val="24"/>
          <w:szCs w:val="24"/>
        </w:rPr>
        <w:t xml:space="preserve">(FitzGerald to Ennals, 12 Feb. 1968, TNA HO 344/188), this remained, as predicted, marginal to steady Commonwealth immigration rates. Policymakers used the hasty drafting of the Commonwealth Immigrants Act 1968, infamous for basing the right of abode for UK citizens on British descent, to criminalise clandestine entry – responding to panicked media coverage of a small number of clandestine landings, despite considering this immaterial to reducing immigration </w:t>
      </w:r>
      <w:r w:rsidRPr="008B66EC">
        <w:rPr>
          <w:rFonts w:ascii="Times New Roman" w:hAnsi="Times New Roman"/>
          <w:sz w:val="24"/>
          <w:szCs w:val="24"/>
        </w:rPr>
        <w:fldChar w:fldCharType="begin"/>
      </w:r>
      <w:r w:rsidRPr="008B66EC">
        <w:rPr>
          <w:rFonts w:ascii="Times New Roman" w:hAnsi="Times New Roman"/>
          <w:sz w:val="24"/>
          <w:szCs w:val="24"/>
        </w:rPr>
        <w:instrText xml:space="preserve"> ADDIN ZOTERO_ITEM CSL_CITATION {"citationID":"b1c9rSbI","properties":{"formattedCitation":"(Slaven &amp; Boswell, 2019, pp. 1486\\uc0\\u8211{}1488)","plainCitation":"(Slaven &amp; Boswell, 2019, pp. 1486–1488)","dontUpdate":true,"noteIndex":0},"citationItems":[{"id":4301,"uris":["http://zotero.org/users/1623609/items/JMMQHJ7Z"],"uri":["http://zotero.org/users/1623609/items/JMMQHJ7Z"],"itemData":{"id":4301,"type":"article-journal","abstract":"(2018). Why symbolise control? Irregular migration to the UK and symbolic policy-making in the 1960s. Journal of Ethnic and Migration Studies. Ahead of Print.","archive_location":"world","container-title":"Journal of Ethnic and Migration Studies","ISSN":"10.1080/1369183X.2018.1459522","issue":"9","language":"en","page":"1477-1495","source":"www.tandfonline.com","title":"Why symbolise control? Irregular migration to the UK and symbolic policy-making in the 1960s","title-short":"Why symbolise control?","volume":"45","author":[{"family":"Slaven","given":"Mike"},{"family":"Boswell","given":"Christina"}],"issued":{"date-parts":[["2019"]]}},"locator":"1486-1488"}],"schema":"https://github.com/citation-style-language/schema/raw/master/csl-citation.json"} </w:instrText>
      </w:r>
      <w:r w:rsidRPr="008B66EC">
        <w:rPr>
          <w:rFonts w:ascii="Times New Roman" w:hAnsi="Times New Roman"/>
          <w:sz w:val="24"/>
          <w:szCs w:val="24"/>
        </w:rPr>
        <w:fldChar w:fldCharType="separate"/>
      </w:r>
      <w:r w:rsidRPr="008B66EC">
        <w:rPr>
          <w:rFonts w:ascii="Times New Roman" w:hAnsi="Times New Roman" w:cs="Times New Roman"/>
          <w:sz w:val="24"/>
          <w:szCs w:val="24"/>
        </w:rPr>
        <w:t>(Slaven &amp; Boswell 2019, 1486–1488)</w:t>
      </w:r>
      <w:r w:rsidRPr="008B66EC">
        <w:rPr>
          <w:rFonts w:ascii="Times New Roman" w:hAnsi="Times New Roman"/>
          <w:sz w:val="24"/>
          <w:szCs w:val="24"/>
        </w:rPr>
        <w:fldChar w:fldCharType="end"/>
      </w:r>
      <w:r w:rsidRPr="008B66EC">
        <w:rPr>
          <w:rFonts w:ascii="Times New Roman" w:hAnsi="Times New Roman"/>
          <w:sz w:val="24"/>
          <w:szCs w:val="24"/>
        </w:rPr>
        <w:t>. In 1969, officials began requiring “entry certificates” for child Commonwealth dependants, even though officials similarly believed this would not reduce numbers, since it would not reduce the number of people legally entitled to immigrate (TNA HO 344/77).</w:t>
      </w:r>
    </w:p>
    <w:p w14:paraId="4A9E2CAF" w14:textId="77777777" w:rsidR="00775EC9" w:rsidRPr="008B66EC" w:rsidRDefault="00775EC9" w:rsidP="00775EC9">
      <w:pPr>
        <w:spacing w:line="480" w:lineRule="auto"/>
        <w:rPr>
          <w:rFonts w:ascii="Times New Roman" w:hAnsi="Times New Roman"/>
          <w:sz w:val="24"/>
          <w:szCs w:val="24"/>
        </w:rPr>
      </w:pPr>
      <w:r w:rsidRPr="008B66EC">
        <w:rPr>
          <w:rFonts w:ascii="Times New Roman" w:hAnsi="Times New Roman"/>
          <w:sz w:val="24"/>
          <w:szCs w:val="24"/>
        </w:rPr>
        <w:tab/>
        <w:t xml:space="preserve">Still, political pressure on the aggregate model intensified from 1968, when, responding to anti-immigrant campaigners led by Enoch Powell, the Conservative Party leader, Edward Heath, began championing sweeping immigration reforms. “Commonwealth immigration legislation will be strengthened to ensure that the most strict control can be exercised,” Conservatives pledged, identifying the key way to achieve this: “joining it with </w:t>
      </w:r>
      <w:r w:rsidRPr="008B66EC">
        <w:rPr>
          <w:rFonts w:ascii="Times New Roman" w:hAnsi="Times New Roman"/>
          <w:sz w:val="24"/>
          <w:szCs w:val="24"/>
        </w:rPr>
        <w:lastRenderedPageBreak/>
        <w:t xml:space="preserve">the legislation governing the entry of aliens” </w:t>
      </w:r>
      <w:r w:rsidRPr="008B66EC">
        <w:rPr>
          <w:rFonts w:ascii="Times New Roman" w:hAnsi="Times New Roman"/>
          <w:sz w:val="24"/>
          <w:szCs w:val="24"/>
        </w:rPr>
        <w:fldChar w:fldCharType="begin"/>
      </w:r>
      <w:r w:rsidRPr="008B66EC">
        <w:rPr>
          <w:rFonts w:ascii="Times New Roman" w:hAnsi="Times New Roman"/>
          <w:sz w:val="24"/>
          <w:szCs w:val="24"/>
        </w:rPr>
        <w:instrText xml:space="preserve"> ADDIN ZOTERO_ITEM CSL_CITATION {"citationID":"DiIx7nX7","properties":{"formattedCitation":"(Conservative Party, 1968, p. 24)","plainCitation":"(Conservative Party, 1968, p. 24)","dontUpdate":true,"noteIndex":0},"citationItems":[{"id":5776,"uris":["http://zotero.org/groups/710893/items/I2S56PG8"],"uri":["http://zotero.org/groups/710893/items/I2S56PG8"],"itemData":{"id":5776,"type":"report","event-place":"London","publisher-place":"London","title":"Make Life Better","author":[{"literal":"Conservative Party"}],"issued":{"date-parts":[["1968"]]}},"locator":"24"}],"schema":"https://github.com/citation-style-language/schema/raw/master/csl-citation.json"} </w:instrText>
      </w:r>
      <w:r w:rsidRPr="008B66EC">
        <w:rPr>
          <w:rFonts w:ascii="Times New Roman" w:hAnsi="Times New Roman"/>
          <w:sz w:val="24"/>
          <w:szCs w:val="24"/>
        </w:rPr>
        <w:fldChar w:fldCharType="separate"/>
      </w:r>
      <w:r w:rsidRPr="008B66EC">
        <w:rPr>
          <w:rFonts w:ascii="Times New Roman" w:hAnsi="Times New Roman" w:cs="Times New Roman"/>
          <w:sz w:val="24"/>
        </w:rPr>
        <w:t>(Conservative Party 1968, 24)</w:t>
      </w:r>
      <w:r w:rsidRPr="008B66EC">
        <w:rPr>
          <w:rFonts w:ascii="Times New Roman" w:hAnsi="Times New Roman"/>
          <w:sz w:val="24"/>
          <w:szCs w:val="24"/>
        </w:rPr>
        <w:fldChar w:fldCharType="end"/>
      </w:r>
      <w:r w:rsidRPr="008B66EC">
        <w:rPr>
          <w:rFonts w:ascii="Times New Roman" w:hAnsi="Times New Roman"/>
          <w:sz w:val="24"/>
          <w:szCs w:val="24"/>
        </w:rPr>
        <w:t xml:space="preserve">. While pledging that the status of already-settled Commonwealth immigrants would not change – and that dependants’ rights to join family would remain – the Conservatives proposed subjecting new Commonwealth immigrants to much more extensive individual scrutiny and monitoring: “No one will in future be granted an immediate unconditional right to stay here. Work permits will be issued only for a limited number of specific jobs. … [I]mmigrants, visitors and students will have to register their whereabouts” </w:t>
      </w:r>
      <w:r w:rsidRPr="008B66EC">
        <w:rPr>
          <w:rFonts w:ascii="Times New Roman" w:hAnsi="Times New Roman"/>
          <w:sz w:val="24"/>
          <w:szCs w:val="24"/>
        </w:rPr>
        <w:fldChar w:fldCharType="begin"/>
      </w:r>
      <w:r w:rsidRPr="008B66EC">
        <w:rPr>
          <w:rFonts w:ascii="Times New Roman" w:hAnsi="Times New Roman"/>
          <w:sz w:val="24"/>
          <w:szCs w:val="24"/>
        </w:rPr>
        <w:instrText xml:space="preserve"> ADDIN ZOTERO_ITEM CSL_CITATION {"citationID":"GQrrbGW7","properties":{"formattedCitation":"(Conservative Party, 1968, p. 24)","plainCitation":"(Conservative Party, 1968, p. 24)","dontUpdate":true,"noteIndex":0},"citationItems":[{"id":5776,"uris":["http://zotero.org/groups/710893/items/I2S56PG8"],"uri":["http://zotero.org/groups/710893/items/I2S56PG8"],"itemData":{"id":5776,"type":"report","event-place":"London","publisher-place":"London","title":"Make Life Better","author":[{"literal":"Conservative Party"}],"issued":{"date-parts":[["1968"]]}},"locator":"24"}],"schema":"https://github.com/citation-style-language/schema/raw/master/csl-citation.json"} </w:instrText>
      </w:r>
      <w:r w:rsidRPr="008B66EC">
        <w:rPr>
          <w:rFonts w:ascii="Times New Roman" w:hAnsi="Times New Roman"/>
          <w:sz w:val="24"/>
          <w:szCs w:val="24"/>
        </w:rPr>
        <w:fldChar w:fldCharType="separate"/>
      </w:r>
      <w:r w:rsidRPr="008B66EC">
        <w:rPr>
          <w:rFonts w:ascii="Times New Roman" w:hAnsi="Times New Roman" w:cs="Times New Roman"/>
          <w:sz w:val="24"/>
        </w:rPr>
        <w:t>(Conservative Party 1968, 24)</w:t>
      </w:r>
      <w:r w:rsidRPr="008B66EC">
        <w:rPr>
          <w:rFonts w:ascii="Times New Roman" w:hAnsi="Times New Roman"/>
          <w:sz w:val="24"/>
          <w:szCs w:val="24"/>
        </w:rPr>
        <w:fldChar w:fldCharType="end"/>
      </w:r>
      <w:r w:rsidRPr="008B66EC">
        <w:rPr>
          <w:rFonts w:ascii="Times New Roman" w:hAnsi="Times New Roman"/>
          <w:sz w:val="24"/>
          <w:szCs w:val="24"/>
        </w:rPr>
        <w:t>.</w:t>
      </w:r>
    </w:p>
    <w:p w14:paraId="312522BF" w14:textId="77777777" w:rsidR="00775EC9" w:rsidRPr="008B66EC" w:rsidRDefault="00775EC9" w:rsidP="00775EC9">
      <w:pPr>
        <w:spacing w:line="480" w:lineRule="auto"/>
        <w:ind w:firstLine="720"/>
        <w:rPr>
          <w:rFonts w:ascii="Times New Roman" w:hAnsi="Times New Roman"/>
          <w:sz w:val="24"/>
          <w:szCs w:val="24"/>
        </w:rPr>
      </w:pPr>
      <w:r w:rsidRPr="008B66EC">
        <w:rPr>
          <w:rFonts w:ascii="Times New Roman" w:hAnsi="Times New Roman"/>
          <w:sz w:val="24"/>
          <w:szCs w:val="24"/>
        </w:rPr>
        <w:t>Home Office policymakers criticised these proposals as ignoring tensions between aggregate and individualised control models which they had employed in regard to distinct populations, toward distinct policy goals. They argued that increased individual scrutiny did not, in itself, offer tools for guaranteeing reduced immigration numbers, which instead required numerical caps.</w:t>
      </w:r>
    </w:p>
    <w:p w14:paraId="78B2C5CF" w14:textId="77777777" w:rsidR="00775EC9" w:rsidRPr="008B66EC" w:rsidRDefault="00775EC9" w:rsidP="00775EC9">
      <w:pPr>
        <w:spacing w:line="480" w:lineRule="auto"/>
        <w:ind w:left="720"/>
        <w:rPr>
          <w:rFonts w:ascii="Times New Roman" w:hAnsi="Times New Roman"/>
          <w:sz w:val="24"/>
          <w:szCs w:val="24"/>
        </w:rPr>
      </w:pPr>
      <w:r w:rsidRPr="008B66EC">
        <w:rPr>
          <w:rFonts w:ascii="Times New Roman" w:hAnsi="Times New Roman"/>
          <w:sz w:val="24"/>
          <w:szCs w:val="24"/>
        </w:rPr>
        <w:t>[The] ability to control numbers is the crucial distinction between the Commonwealth and aliens controls. To go over to the aliens system for Commonwealth citizens would entail giving up this numerical control … [Regarding dependents] since there is no proposal to limit the number of permits issued… there is nothing in the Conservative proposals which would reduce numbers of dependants arriving. The mere erection of an administratively expensive system of control will have no impact on numbers. (“Mr. Heath’s Statement of Commonwealth Immigration Policy,” n.d., TNA HO 344/55)</w:t>
      </w:r>
    </w:p>
    <w:p w14:paraId="7D5BA0E3" w14:textId="77777777" w:rsidR="00775EC9" w:rsidRPr="008B66EC" w:rsidRDefault="00775EC9" w:rsidP="00775EC9">
      <w:pPr>
        <w:spacing w:line="480" w:lineRule="auto"/>
        <w:ind w:firstLine="720"/>
        <w:rPr>
          <w:rFonts w:ascii="Times New Roman" w:eastAsia="Times New Roman" w:hAnsi="Times New Roman" w:cs="Times New Roman"/>
          <w:sz w:val="24"/>
          <w:szCs w:val="24"/>
          <w:lang w:eastAsia="en-GB"/>
        </w:rPr>
      </w:pPr>
      <w:r w:rsidRPr="008B66EC">
        <w:rPr>
          <w:rFonts w:ascii="Times New Roman" w:eastAsia="Times New Roman" w:hAnsi="Times New Roman" w:cs="Times New Roman"/>
          <w:sz w:val="24"/>
          <w:szCs w:val="24"/>
          <w:lang w:eastAsia="en-GB"/>
        </w:rPr>
        <w:t xml:space="preserve">Furthermore, they argued that an individual-scrutiny approach could cause possibly severe social consequences. </w:t>
      </w:r>
    </w:p>
    <w:p w14:paraId="3F382D0F" w14:textId="77777777" w:rsidR="00775EC9" w:rsidRPr="008B66EC" w:rsidRDefault="00775EC9" w:rsidP="00775EC9">
      <w:pPr>
        <w:spacing w:line="480" w:lineRule="auto"/>
        <w:ind w:left="720"/>
        <w:rPr>
          <w:rFonts w:ascii="Times New Roman" w:eastAsia="Times New Roman" w:hAnsi="Times New Roman" w:cs="Times New Roman"/>
          <w:sz w:val="24"/>
          <w:szCs w:val="24"/>
          <w:lang w:eastAsia="en-GB"/>
        </w:rPr>
      </w:pPr>
      <w:r w:rsidRPr="008B66EC">
        <w:rPr>
          <w:rFonts w:ascii="Times New Roman" w:eastAsia="Times New Roman" w:hAnsi="Times New Roman" w:cs="Times New Roman"/>
          <w:sz w:val="24"/>
          <w:szCs w:val="24"/>
          <w:lang w:eastAsia="en-GB"/>
        </w:rPr>
        <w:t xml:space="preserve">The other main emphasis in the Opposition’s proposals is on the need for a much tighter system of control after arrival.… [W]hat is to be the purpose of this elaborate </w:t>
      </w:r>
      <w:r w:rsidRPr="008B66EC">
        <w:rPr>
          <w:rFonts w:ascii="Times New Roman" w:eastAsia="Times New Roman" w:hAnsi="Times New Roman" w:cs="Times New Roman"/>
          <w:sz w:val="24"/>
          <w:szCs w:val="24"/>
          <w:lang w:eastAsia="en-GB"/>
        </w:rPr>
        <w:lastRenderedPageBreak/>
        <w:t>system of control? … Will this help race relations and integration? … Could we honestly say we were not creating a category of second class citizens? (“Expiring Laws Continuance Bill, Notes for Home Secretary’s Speech,” 12 Nov. 1968, TNA HO 344/55).</w:t>
      </w:r>
    </w:p>
    <w:p w14:paraId="69257762" w14:textId="77777777" w:rsidR="00775EC9" w:rsidRPr="008B66EC" w:rsidRDefault="00775EC9" w:rsidP="00775EC9">
      <w:pPr>
        <w:spacing w:line="480" w:lineRule="auto"/>
        <w:rPr>
          <w:rFonts w:ascii="Times New Roman" w:hAnsi="Times New Roman"/>
          <w:sz w:val="24"/>
          <w:szCs w:val="24"/>
        </w:rPr>
      </w:pPr>
      <w:r w:rsidRPr="008B66EC">
        <w:rPr>
          <w:rFonts w:ascii="Times New Roman" w:hAnsi="Times New Roman"/>
          <w:sz w:val="24"/>
          <w:szCs w:val="24"/>
        </w:rPr>
        <w:tab/>
        <w:t xml:space="preserve">Nonetheless, the Conservative electoral victory in 1970 made the demise of the aggregate model imminent. Ironically, this model was by then meeting its stated goals: Commonwealth settlement fell 40 percent between 1967 and 1969 (FitzGerald to Faulkner, 16 June 1970, TNA HO 344/353). As the new home secretary wrote to Heath, now prime minister, “permanent immigration from the Commonwealth is already down to little more than a trickle. … The job is virtually done by the existing system” (Maudling to Heath, 27 Aug. 1970, TNA PREM 15/444). But the Conservatives had been elected pledging tighter individualised control, which Heath committed politically to pursue </w:t>
      </w:r>
      <w:r w:rsidRPr="008B66EC">
        <w:rPr>
          <w:rFonts w:ascii="Times New Roman" w:hAnsi="Times New Roman"/>
          <w:sz w:val="24"/>
          <w:szCs w:val="24"/>
        </w:rPr>
        <w:fldChar w:fldCharType="begin"/>
      </w:r>
      <w:r w:rsidRPr="008B66EC">
        <w:rPr>
          <w:rFonts w:ascii="Times New Roman" w:hAnsi="Times New Roman"/>
          <w:sz w:val="24"/>
          <w:szCs w:val="24"/>
        </w:rPr>
        <w:instrText xml:space="preserve"> ADDIN ZOTERO_ITEM CSL_CITATION {"citationID":"G8Kplk2z","properties":{"formattedCitation":"(C. Williams 2015)","plainCitation":"(C. Williams 2015)","dontUpdate":true,"noteIndex":0},"citationItems":[{"id":7478,"uris":["http://zotero.org/users/1623609/items/D3WDKNYQ"],"uri":["http://zotero.org/users/1623609/items/D3WDKNYQ"],"itemData":{"id":7478,"type":"article-journal","abstract":"This paper looks at the introduction of the 1971 Immigration Act in Britain. It argues that foreign-policy pressures encouraged the Heath government to adopt discriminatory Commonwealth immigration policy, breaking from the non-discriminatory immigration policy that had preceded it. The need to appease New Zealand and Australia over the consequences of Britain's impending accession to the European Economic Community encouraged the British government to enact immigration measures that discriminated in favour of the ‘Old Commonwealth’ (Canada, Australia and New Zealand).","container-title":"Contemporary British History","DOI":"10.1080/13619462.2014.1002775","ISSN":"1361-9462","issue":"4","note":"publisher: Routledge\n_eprint: https://doi.org/10.1080/13619462.2014.1002775","page":"508-538","source":"Taylor and Francis+NEJM","title":"Patriality, Work Permits and the European Economic Community: The Introduction of the 1971 Immigration Act","title-short":"Patriality, Work Permits and the European Economic Community","volume":"29","author":[{"family":"Williams","given":"Callum"}],"issued":{"date-parts":[["2015",10,2]]}}}],"schema":"https://github.com/citation-style-language/schema/raw/master/csl-citation.json"} </w:instrText>
      </w:r>
      <w:r w:rsidRPr="008B66EC">
        <w:rPr>
          <w:rFonts w:ascii="Times New Roman" w:hAnsi="Times New Roman"/>
          <w:sz w:val="24"/>
          <w:szCs w:val="24"/>
        </w:rPr>
        <w:fldChar w:fldCharType="separate"/>
      </w:r>
      <w:r w:rsidRPr="008B66EC">
        <w:rPr>
          <w:rFonts w:ascii="Times New Roman" w:hAnsi="Times New Roman" w:cs="Times New Roman"/>
          <w:sz w:val="24"/>
        </w:rPr>
        <w:t>(Williams 2015)</w:t>
      </w:r>
      <w:r w:rsidRPr="008B66EC">
        <w:rPr>
          <w:rFonts w:ascii="Times New Roman" w:hAnsi="Times New Roman"/>
          <w:sz w:val="24"/>
          <w:szCs w:val="24"/>
        </w:rPr>
        <w:fldChar w:fldCharType="end"/>
      </w:r>
      <w:r w:rsidRPr="008B66EC">
        <w:rPr>
          <w:rFonts w:ascii="Times New Roman" w:hAnsi="Times New Roman"/>
          <w:sz w:val="24"/>
          <w:szCs w:val="24"/>
        </w:rPr>
        <w:t xml:space="preserve">, leading officials to soon accept this “perhaps inevitable trend” (Holden to FitzGerald, 14 July 1970, HO 376/169). The Immigration Act 1971 – taking effect in 1973 – erased the distinct aggregate control model for Commonwealth immigrants, placing future Commonwealth arrivals under greater individualised scrutiny and a broadened concept of “illegal entry.” It also formally placed on immigrants the burden to prove their status in cases of doubt </w:t>
      </w:r>
      <w:r w:rsidRPr="008B66EC">
        <w:rPr>
          <w:rFonts w:ascii="Times New Roman" w:hAnsi="Times New Roman"/>
          <w:sz w:val="24"/>
          <w:szCs w:val="24"/>
        </w:rPr>
        <w:fldChar w:fldCharType="begin"/>
      </w:r>
      <w:r w:rsidRPr="008B66EC">
        <w:rPr>
          <w:rFonts w:ascii="Times New Roman" w:hAnsi="Times New Roman"/>
          <w:sz w:val="24"/>
          <w:szCs w:val="24"/>
        </w:rPr>
        <w:instrText xml:space="preserve"> ADDIN ZOTERO_ITEM CSL_CITATION {"citationID":"a1phCsqg","properties":{"formattedCitation":"(Tuckett, 2019, p. 120)","plainCitation":"(Tuckett, 2019, p. 120)","dontUpdate":true,"noteIndex":0},"citationItems":[{"id":6922,"uris":["http://zotero.org/users/1623609/items/V7IRRWQV"],"uri":["http://zotero.org/users/1623609/items/V7IRRWQV"],"itemData":{"id":6922,"type":"article-journal","container-title":"Journal of Legal Anthropology","DOI":"10.3167/jla.2019.030208","ISSN":"1758-9584, 1758-9576","issue":"2","language":"en_US","note":"publisher: Berghahn Journals","page":"120-123","source":"www.berghahnjournals.com","title":"Managing paper trails after Windrush: Migration, documents and bureaucracy","title-short":"Managing paper trails after Windrush","volume":"3","author":[{"family":"Tuckett","given":"Anna"}],"issued":{"date-parts":[["2019",12,1]]}},"locator":"120"}],"schema":"https://github.com/citation-style-language/schema/raw/master/csl-citation.json"} </w:instrText>
      </w:r>
      <w:r w:rsidRPr="008B66EC">
        <w:rPr>
          <w:rFonts w:ascii="Times New Roman" w:hAnsi="Times New Roman"/>
          <w:sz w:val="24"/>
          <w:szCs w:val="24"/>
        </w:rPr>
        <w:fldChar w:fldCharType="separate"/>
      </w:r>
      <w:r w:rsidRPr="008B66EC">
        <w:rPr>
          <w:rFonts w:ascii="Times New Roman" w:hAnsi="Times New Roman" w:cs="Times New Roman"/>
          <w:sz w:val="24"/>
        </w:rPr>
        <w:t>(Tuckett 2019, 120)</w:t>
      </w:r>
      <w:r w:rsidRPr="008B66EC">
        <w:rPr>
          <w:rFonts w:ascii="Times New Roman" w:hAnsi="Times New Roman"/>
          <w:sz w:val="24"/>
          <w:szCs w:val="24"/>
        </w:rPr>
        <w:fldChar w:fldCharType="end"/>
      </w:r>
      <w:r w:rsidRPr="008B66EC">
        <w:rPr>
          <w:rFonts w:ascii="Times New Roman" w:hAnsi="Times New Roman"/>
          <w:sz w:val="24"/>
          <w:szCs w:val="24"/>
        </w:rPr>
        <w:t xml:space="preserve">. The only distinctions which remained were that Commonwealth immigrants retained their political rights, and were not required to register with police. </w:t>
      </w:r>
    </w:p>
    <w:p w14:paraId="5D61C9C2" w14:textId="77777777" w:rsidR="00775EC9" w:rsidRPr="008B66EC" w:rsidRDefault="00775EC9" w:rsidP="00775EC9">
      <w:pPr>
        <w:spacing w:line="480" w:lineRule="auto"/>
        <w:ind w:firstLine="720"/>
        <w:rPr>
          <w:rFonts w:ascii="Times New Roman" w:hAnsi="Times New Roman"/>
          <w:sz w:val="24"/>
          <w:szCs w:val="24"/>
        </w:rPr>
      </w:pPr>
      <w:r w:rsidRPr="008B66EC">
        <w:rPr>
          <w:rFonts w:ascii="Times New Roman" w:hAnsi="Times New Roman"/>
          <w:sz w:val="24"/>
          <w:szCs w:val="24"/>
        </w:rPr>
        <w:t xml:space="preserve">Thus, from 1963 to 1973, the UK state’s basic interpretive disposition toward the governance of racialised postcolonial immigrants shifted: from an image of groups with distinct past imperial connections whose overall numbers had to be limited, and individualised scrutiny of whom would not serve the state’s interest; to a collective of individuals, whose rights in Britain were formally less, and whose individual compliance with rules could be policed more persistently. The 1971 Act was not supposed to impact the </w:t>
      </w:r>
      <w:r w:rsidRPr="008B66EC">
        <w:rPr>
          <w:rFonts w:ascii="Times New Roman" w:hAnsi="Times New Roman"/>
          <w:sz w:val="24"/>
          <w:szCs w:val="24"/>
        </w:rPr>
        <w:lastRenderedPageBreak/>
        <w:t xml:space="preserve">status of the many Commonwealth immigrants already settled in Britain – a commitment that governments retained in following decades </w:t>
      </w:r>
      <w:r w:rsidRPr="008B66EC">
        <w:rPr>
          <w:rFonts w:ascii="Times New Roman" w:hAnsi="Times New Roman"/>
          <w:sz w:val="24"/>
          <w:szCs w:val="24"/>
        </w:rPr>
        <w:fldChar w:fldCharType="begin"/>
      </w:r>
      <w:r w:rsidRPr="008B66EC">
        <w:rPr>
          <w:rFonts w:ascii="Times New Roman" w:hAnsi="Times New Roman"/>
          <w:sz w:val="24"/>
          <w:szCs w:val="24"/>
        </w:rPr>
        <w:instrText xml:space="preserve"> ADDIN ZOTERO_ITEM CSL_CITATION {"citationID":"oPO8PnHg","properties":{"formattedCitation":"(W. Williams 2020, 54\\uc0\\u8211{}59)","plainCitation":"(W. Williams 2020, 54–59)","dontUpdate":true,"noteIndex":0},"citationItems":[{"id":7240,"uris":["http://zotero.org/users/1623609/items/PZUKVNT8"],"uri":["http://zotero.org/users/1623609/items/PZUKVNT8"],"itemData":{"id":7240,"type":"book","event-place":"Westminster","ISBN":"978-1-5286-1779-6","language":"en","note":"OCLC: 1180134448","publisher":"Home Office","publisher-place":"Westminster","source":"Open WorldCat","title":"Windrush Lessons Learned Review","title-short":"Windrush Lessons Learned Review","author":[{"family":"Williams","given":"Wendy"}],"issued":{"date-parts":[["2020",3,19]]}},"locator":"54-59"}],"schema":"https://github.com/citation-style-language/schema/raw/master/csl-citation.json"} </w:instrText>
      </w:r>
      <w:r w:rsidRPr="008B66EC">
        <w:rPr>
          <w:rFonts w:ascii="Times New Roman" w:hAnsi="Times New Roman"/>
          <w:sz w:val="24"/>
          <w:szCs w:val="24"/>
        </w:rPr>
        <w:fldChar w:fldCharType="separate"/>
      </w:r>
      <w:r w:rsidRPr="008B66EC">
        <w:rPr>
          <w:rFonts w:ascii="Times New Roman" w:hAnsi="Times New Roman" w:cs="Times New Roman"/>
          <w:sz w:val="24"/>
          <w:szCs w:val="24"/>
        </w:rPr>
        <w:t>(Williams 2020, 54–59)</w:t>
      </w:r>
      <w:r w:rsidRPr="008B66EC">
        <w:rPr>
          <w:rFonts w:ascii="Times New Roman" w:hAnsi="Times New Roman"/>
          <w:sz w:val="24"/>
          <w:szCs w:val="24"/>
        </w:rPr>
        <w:fldChar w:fldCharType="end"/>
      </w:r>
      <w:r w:rsidRPr="008B66EC">
        <w:rPr>
          <w:rFonts w:ascii="Times New Roman" w:hAnsi="Times New Roman"/>
          <w:sz w:val="24"/>
          <w:szCs w:val="24"/>
        </w:rPr>
        <w:t>. Its enactment nonetheless marked a shift in prevailing state understandings of governing postcolonial migration, which would have wide-ranging consequences.</w:t>
      </w:r>
    </w:p>
    <w:p w14:paraId="0B860B8B" w14:textId="77777777" w:rsidR="00775EC9" w:rsidRPr="008B66EC" w:rsidRDefault="00775EC9" w:rsidP="00775EC9">
      <w:pPr>
        <w:spacing w:line="480" w:lineRule="auto"/>
        <w:rPr>
          <w:rFonts w:ascii="Times New Roman" w:hAnsi="Times New Roman" w:cs="Times New Roman"/>
          <w:sz w:val="24"/>
          <w:szCs w:val="24"/>
        </w:rPr>
      </w:pPr>
    </w:p>
    <w:p w14:paraId="307594D6" w14:textId="77777777" w:rsidR="00775EC9" w:rsidRPr="008B66EC" w:rsidRDefault="00775EC9" w:rsidP="00775EC9">
      <w:pPr>
        <w:spacing w:line="480" w:lineRule="auto"/>
        <w:rPr>
          <w:rFonts w:ascii="Times New Roman" w:hAnsi="Times New Roman"/>
          <w:b/>
          <w:bCs/>
          <w:sz w:val="24"/>
        </w:rPr>
      </w:pPr>
      <w:r w:rsidRPr="008B66EC">
        <w:rPr>
          <w:rFonts w:ascii="Times New Roman" w:hAnsi="Times New Roman"/>
          <w:b/>
          <w:bCs/>
          <w:sz w:val="24"/>
        </w:rPr>
        <w:t>Three Policy Legacies of the Individualisation of UK Immigration Control</w:t>
      </w:r>
    </w:p>
    <w:p w14:paraId="29DB9835" w14:textId="77777777" w:rsidR="00775EC9" w:rsidRPr="008B66EC" w:rsidRDefault="00775EC9" w:rsidP="00775EC9">
      <w:pPr>
        <w:spacing w:line="480" w:lineRule="auto"/>
        <w:ind w:firstLine="720"/>
        <w:rPr>
          <w:rFonts w:ascii="Times New Roman" w:hAnsi="Times New Roman"/>
          <w:sz w:val="24"/>
        </w:rPr>
      </w:pPr>
      <w:r w:rsidRPr="008B66EC">
        <w:rPr>
          <w:rFonts w:ascii="Times New Roman" w:hAnsi="Times New Roman"/>
          <w:sz w:val="24"/>
        </w:rPr>
        <w:t>Despite the significance of the shift described above, interview data</w:t>
      </w:r>
      <w:r w:rsidRPr="008B66EC">
        <w:rPr>
          <w:rFonts w:ascii="Times New Roman" w:hAnsi="Times New Roman" w:cs="Times New Roman"/>
          <w:sz w:val="24"/>
          <w:szCs w:val="24"/>
        </w:rPr>
        <w:t xml:space="preserve"> with UK immigration policymakers active from the 1980s onward reflect little lasting awareness that today’s individualised immigration control represents a historically distinct mode of British immigration governance. As aggregate governance approaches faded from memory, individualised scrutiny became the natural, “</w:t>
      </w:r>
      <w:r w:rsidRPr="008B66EC">
        <w:rPr>
          <w:rFonts w:ascii="Times New Roman" w:hAnsi="Times New Roman"/>
          <w:sz w:val="24"/>
        </w:rPr>
        <w:t xml:space="preserve">common-sensible” approach for later UK policymakers. Such changes over time led the Home Office to “forget” that many had immigrated to the UK under profoundly different systems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{"citationID":"aGbAblg3","properties":{"formattedCitation":"(W. Williams 2020, 49)","plainCitation":"(W. Williams 2020, 49)","dontUpdate":true,"noteIndex":0},"citationItems":[{"id":7240,"uris":["http://zotero.org/users/1623609/items/PZUKVNT8"],"uri":["http://zotero.org/users/1623609/items/PZUKVNT8"],"itemData":{"id":7240,"type":"book","event-place":"Westminster","ISBN":"978-1-5286-1779-6","language":"en","note":"OCLC: 1180134448","publisher":"Home Office","publisher-place":"Westminster","source":"Open WorldCat","title":"Windrush Lessons Learned Review","title-short":"Windrush Lessons Learned Review","author":[{"family":"Williams","given":"Wendy"}],"issued":{"date-parts":[["2020",3,19]]}},"locator":"49"}],"schema":"https://github.com/citation-style-language/schema/raw/master/csl-citation.json"}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(Williams 2020, 49)</w:t>
      </w:r>
      <w:r w:rsidRPr="008B66EC">
        <w:rPr>
          <w:rFonts w:ascii="Times New Roman" w:hAnsi="Times New Roman"/>
          <w:sz w:val="24"/>
        </w:rPr>
        <w:fldChar w:fldCharType="end"/>
      </w:r>
      <w:r w:rsidRPr="008B66EC">
        <w:rPr>
          <w:rFonts w:ascii="Times New Roman" w:hAnsi="Times New Roman"/>
          <w:sz w:val="24"/>
        </w:rPr>
        <w:t xml:space="preserve">. However, rather than merely obscuring past policies beneath changes, this shift left particular legacies in three “interpretive dispositions” which became dominant in UK immigration control, and later helped to precipitate the Windrush Scandal. </w:t>
      </w:r>
    </w:p>
    <w:p w14:paraId="686AE126" w14:textId="77777777" w:rsidR="00775EC9" w:rsidRPr="008B66EC" w:rsidRDefault="00775EC9" w:rsidP="00775EC9">
      <w:pPr>
        <w:spacing w:line="480" w:lineRule="auto"/>
        <w:rPr>
          <w:rFonts w:ascii="Times New Roman" w:hAnsi="Times New Roman"/>
          <w:sz w:val="24"/>
        </w:rPr>
      </w:pPr>
    </w:p>
    <w:p w14:paraId="674C5BF9" w14:textId="77777777" w:rsidR="00775EC9" w:rsidRPr="008B66EC" w:rsidRDefault="00775EC9" w:rsidP="00775EC9">
      <w:pPr>
        <w:spacing w:line="480" w:lineRule="auto"/>
        <w:rPr>
          <w:rFonts w:ascii="Times New Roman" w:hAnsi="Times New Roman"/>
          <w:i/>
          <w:iCs/>
          <w:sz w:val="24"/>
        </w:rPr>
      </w:pPr>
      <w:r w:rsidRPr="008B66EC">
        <w:rPr>
          <w:rFonts w:ascii="Times New Roman" w:hAnsi="Times New Roman"/>
          <w:i/>
          <w:iCs/>
          <w:sz w:val="24"/>
        </w:rPr>
        <w:t>Individual scrutiny for aggregate goals</w:t>
      </w:r>
    </w:p>
    <w:p w14:paraId="7771523E" w14:textId="77777777" w:rsidR="00775EC9" w:rsidRPr="008B66EC" w:rsidRDefault="00775EC9" w:rsidP="00775EC9">
      <w:pPr>
        <w:spacing w:line="480" w:lineRule="auto"/>
        <w:ind w:firstLine="720"/>
        <w:rPr>
          <w:rFonts w:ascii="Times New Roman" w:hAnsi="Times New Roman" w:cs="Times New Roman"/>
          <w:sz w:val="24"/>
          <w:szCs w:val="24"/>
          <w:lang w:val="en-US"/>
        </w:rPr>
      </w:pPr>
      <w:r w:rsidRPr="008B66EC">
        <w:rPr>
          <w:rFonts w:ascii="Times New Roman" w:hAnsi="Times New Roman" w:cs="Times New Roman"/>
          <w:sz w:val="24"/>
          <w:szCs w:val="24"/>
        </w:rPr>
        <w:t xml:space="preserve">Since the 1971 Act, the overwhelming way that UK policymakers have pursued political objectives to reduce various forms of controversial migration has been to intensify scrutiny of individual immigrants’ qualification and compliance, rather than to cap admissions numbers. While policy goals often remained numerical, mechanisms were largely individualised. By the 2010s, the principal policy logic of immigration control had become, as one policymaker summarised, </w:t>
      </w:r>
      <w:r w:rsidRPr="008B66EC">
        <w:rPr>
          <w:rFonts w:ascii="Times New Roman" w:hAnsi="Times New Roman" w:cs="Times New Roman"/>
          <w:sz w:val="24"/>
          <w:szCs w:val="24"/>
          <w:lang w:val="en-US"/>
        </w:rPr>
        <w:t>“</w:t>
      </w:r>
      <w:r w:rsidRPr="008B66EC">
        <w:rPr>
          <w:rFonts w:ascii="Times New Roman" w:hAnsi="Times New Roman"/>
          <w:sz w:val="24"/>
        </w:rPr>
        <w:t xml:space="preserve">We can do everything we can to eliminate all abuse of the </w:t>
      </w:r>
      <w:r w:rsidRPr="008B66EC">
        <w:rPr>
          <w:rFonts w:ascii="Times New Roman" w:hAnsi="Times New Roman"/>
          <w:sz w:val="24"/>
        </w:rPr>
        <w:lastRenderedPageBreak/>
        <w:t xml:space="preserve">system, which will reduce numbers” </w:t>
      </w:r>
      <w:r w:rsidRPr="008B66EC">
        <w:rPr>
          <w:rFonts w:ascii="Times New Roman" w:hAnsi="Times New Roman" w:cs="Times New Roman"/>
          <w:sz w:val="24"/>
          <w:szCs w:val="24"/>
          <w:lang w:val="en-US"/>
        </w:rPr>
        <w:t>(Interview 24).</w:t>
      </w:r>
      <w:r w:rsidRPr="008B66EC">
        <w:rPr>
          <w:rFonts w:ascii="Times New Roman" w:hAnsi="Times New Roman" w:cs="Times New Roman"/>
          <w:sz w:val="24"/>
          <w:szCs w:val="24"/>
        </w:rPr>
        <w:t xml:space="preserve"> Under this formulation, increased requirements, </w:t>
      </w:r>
      <w:bookmarkStart w:id="0" w:name="_Hlk68625238"/>
      <w:r w:rsidRPr="008B66EC">
        <w:rPr>
          <w:rFonts w:ascii="Times New Roman" w:hAnsi="Times New Roman" w:cs="Times New Roman"/>
          <w:sz w:val="24"/>
          <w:szCs w:val="24"/>
        </w:rPr>
        <w:t xml:space="preserve">intensified scrutiny, and more thorough monitoring will reduce immigration aggregately. A cumulative phenomenon is </w:t>
      </w:r>
      <w:bookmarkEnd w:id="0"/>
      <w:r w:rsidRPr="008B66EC">
        <w:rPr>
          <w:rFonts w:ascii="Times New Roman" w:hAnsi="Times New Roman" w:cs="Times New Roman"/>
          <w:sz w:val="24"/>
          <w:szCs w:val="24"/>
        </w:rPr>
        <w:t>understood as governed through a series of individualised interventions.</w:t>
      </w:r>
    </w:p>
    <w:p w14:paraId="516D1F37" w14:textId="34F4652F"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Officials in the 1960s saw this formulation as logically flawed and liable to </w:t>
      </w:r>
      <w:r w:rsidR="00ED22B0">
        <w:rPr>
          <w:rFonts w:ascii="Times New Roman" w:hAnsi="Times New Roman" w:cs="Times New Roman"/>
          <w:sz w:val="24"/>
          <w:szCs w:val="24"/>
        </w:rPr>
        <w:t>exacerbate</w:t>
      </w:r>
      <w:r w:rsidRPr="008B66EC">
        <w:rPr>
          <w:rFonts w:ascii="Times New Roman" w:hAnsi="Times New Roman" w:cs="Times New Roman"/>
          <w:sz w:val="24"/>
          <w:szCs w:val="24"/>
        </w:rPr>
        <w:t xml:space="preserve"> social problems. Political pledges to reduce migration regard distinct volumes: for instance, the “tens of thousands” (as in the UK’s 2010s “net migration pledge”). Earlier policymakers held that increased individualised scrutiny of immigrants contained no direct tool for adhering to these aggregate goals. Premising control on individualised determinations in place of gross measures like numerical capping </w:t>
      </w:r>
      <w:r w:rsidRPr="008B66EC">
        <w:rPr>
          <w:rFonts w:ascii="Times New Roman" w:hAnsi="Times New Roman"/>
          <w:sz w:val="24"/>
          <w:szCs w:val="24"/>
        </w:rPr>
        <w:t>can reduce immigration against a hypothetical level, but if enough immigrants qualify, numbers may actually increase, notwithstanding increased strictness toward individuals</w:t>
      </w:r>
      <w:r w:rsidRPr="008B66EC">
        <w:rPr>
          <w:rFonts w:ascii="Times New Roman" w:hAnsi="Times New Roman" w:cs="Times New Roman"/>
          <w:sz w:val="24"/>
          <w:szCs w:val="24"/>
        </w:rPr>
        <w:t>. After the Conservatives came to power in 1970, the home secretary conveyed these concerns to the prime minister, Heath</w:t>
      </w:r>
      <w:r w:rsidRPr="008B66EC">
        <w:rPr>
          <w:rFonts w:ascii="Times New Roman" w:hAnsi="Times New Roman"/>
          <w:sz w:val="24"/>
          <w:szCs w:val="24"/>
        </w:rPr>
        <w:t xml:space="preserve">: “I know that it is your strong personal view that there should be a single system governing the admission of aliens and Commonwealth citizens. … I must advise you that there are real problems about having a single entry system” (Maudling to Heath, 24 June 1970, TNA PREM 15/44). Heath, favouring politically expedient legislation, did not grasp the issue: “I have never quite understood the difficulty about the limitation of numbers” (Heath to Maudling, 3 July 1970, TNA HO </w:t>
      </w:r>
      <w:r w:rsidRPr="008B66EC">
        <w:rPr>
          <w:rFonts w:ascii="Times New Roman" w:hAnsi="Times New Roman" w:cs="Times New Roman"/>
          <w:sz w:val="24"/>
          <w:szCs w:val="24"/>
        </w:rPr>
        <w:t>15/444). The 1971 Act followed.</w:t>
      </w:r>
    </w:p>
    <w:p w14:paraId="62536336" w14:textId="77777777" w:rsidR="00775EC9" w:rsidRPr="008B66EC" w:rsidRDefault="00775EC9" w:rsidP="00775EC9">
      <w:pPr>
        <w:spacing w:line="480" w:lineRule="auto"/>
        <w:ind w:firstLine="720"/>
        <w:rPr>
          <w:rFonts w:ascii="Times New Roman" w:hAnsi="Times New Roman"/>
          <w:sz w:val="24"/>
        </w:rPr>
      </w:pPr>
      <w:r w:rsidRPr="008B66EC">
        <w:rPr>
          <w:rFonts w:ascii="Times New Roman" w:hAnsi="Times New Roman" w:cs="Times New Roman"/>
          <w:sz w:val="24"/>
          <w:szCs w:val="24"/>
        </w:rPr>
        <w:t xml:space="preserve">Consequently, increasing individual scrutiny started becoming naturalised as the logical intervention to meet political objectives to reduce controversial immigration volumes. This logic was cemented by extended controversies around reducing varieties of immigration where the UK state contended with individual rights claims. As early as the 1970s, with family migrants the dominant category of racialised immigrants which UK policymakers aimed to reduce, explicit quotas were out of favour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{"citationID":"IR2GhSbs","properties":{"formattedCitation":"(Shearmur, 2021, pp. 61\\uc0\\u8211{}62)","plainCitation":"(Shearmur, 2021, pp. 61–62)","dontUpdate":true,"noteIndex":0},"citationItems":[{"id":8168,"uris":["http://zotero.org/users/1623609/items/QY2FML7Q"],"uri":["http://zotero.org/users/1623609/items/QY2FML7Q"],"itemData":{"id":8168,"type":"thesis","publisher":"University of Cambridge","title":"British immigration policymaking and European integration, 1973-1990","author":[{"family":"Shearmur","given":"Yasmin"}],"issued":{"date-parts":[["2021"]]}},"locator":"61-62"}],"schema":"https://github.com/citation-style-language/schema/raw/master/csl-citation.json"}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(Shearmur 2021, 61–62)</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Later, in </w:t>
      </w:r>
      <w:r w:rsidRPr="008B66EC">
        <w:rPr>
          <w:rFonts w:ascii="Times New Roman" w:hAnsi="Times New Roman" w:cs="Times New Roman"/>
          <w:sz w:val="24"/>
          <w:szCs w:val="24"/>
        </w:rPr>
        <w:lastRenderedPageBreak/>
        <w:t>asylum, where “the main political driver of policy [was] reducing the number of asylum seekers” (Interview 1), policymakers took the basic approach of increasing individualised scrutiny of asylum seekers</w:t>
      </w:r>
      <w:r w:rsidRPr="008B66EC">
        <w:rPr>
          <w:rFonts w:ascii="Times New Roman" w:hAnsi="Times New Roman" w:cs="Arial"/>
          <w:sz w:val="24"/>
        </w:rPr>
        <w:t>: “The criteria of the Refugee Convention were fairly clear and strict. Did they match up or not?” (Interview 2)</w:t>
      </w:r>
      <w:r w:rsidRPr="008B66EC">
        <w:rPr>
          <w:rFonts w:ascii="Times New Roman" w:hAnsi="Times New Roman" w:cs="Times New Roman"/>
          <w:sz w:val="24"/>
          <w:szCs w:val="24"/>
        </w:rPr>
        <w:t xml:space="preserve">. </w:t>
      </w:r>
      <w:r w:rsidRPr="008B66EC">
        <w:rPr>
          <w:rFonts w:ascii="Times New Roman" w:hAnsi="Times New Roman" w:cs="Arial"/>
          <w:sz w:val="24"/>
        </w:rPr>
        <w:t>The individualised judgment of such cases cemented a subjectivity of (frequently racialised) immigrants focused on individual qualification and compliance. Officials scrutinised applications for “things that cast doubt on credibility” (Interview 7)</w:t>
      </w:r>
      <w:r w:rsidRPr="008B66EC">
        <w:rPr>
          <w:rFonts w:ascii="Times New Roman" w:hAnsi="Times New Roman" w:cs="Times New Roman"/>
          <w:sz w:val="24"/>
          <w:szCs w:val="24"/>
        </w:rPr>
        <w:t xml:space="preserve"> and deterred applications through limiting asylum seekers’ social and economic rights. Similarly, in the 2000s, when European Union labour migration became politically controversial, UK policymakers addressed pressures to reduce volumes through the same formulation of scrutinising individual compliance. This meant “</w:t>
      </w:r>
      <w:r w:rsidRPr="008B66EC">
        <w:rPr>
          <w:rFonts w:ascii="Times New Roman" w:hAnsi="Times New Roman"/>
          <w:sz w:val="24"/>
        </w:rPr>
        <w:t>more action against EU nationals who… don’t have a right in the first place because they’re not exercising a treaty right” (Interview 25), and, to the extent treaties allowed, limiting access to the welfare state through a Workers Registration Scheme monitoring that “they had completed 12 months’ continuous employment, [without which] they weren’t able to access benefits” (Interview 25).</w:t>
      </w:r>
    </w:p>
    <w:p w14:paraId="3411ED7A" w14:textId="77777777" w:rsidR="00775EC9" w:rsidRPr="008B66EC" w:rsidRDefault="00775EC9" w:rsidP="00775EC9">
      <w:pPr>
        <w:spacing w:line="480" w:lineRule="auto"/>
        <w:ind w:firstLine="720"/>
        <w:rPr>
          <w:rFonts w:ascii="Times New Roman" w:hAnsi="Times New Roman"/>
          <w:sz w:val="24"/>
        </w:rPr>
      </w:pPr>
      <w:r w:rsidRPr="008B66EC">
        <w:rPr>
          <w:rFonts w:ascii="Times New Roman" w:hAnsi="Times New Roman"/>
          <w:sz w:val="24"/>
        </w:rPr>
        <w:t>In these developments, the “hostile environment” repertoire – increased individualised scrutiny and monitoring, including in the welfare state – comes clearly into view. Given that, as noted, this formulation lacks direct mechanisms to meet political pledges around migration numbers, what also emerges is the prospect that these approaches will be continuously escalated, amid faltering efforts to meet political goals. Indicating just how entrenched this individualised logic had become, the UK applied this in areas where it was less behoved to contend with individual rights claims, such as non-EU labour migration. By the 2000s, immigration</w:t>
      </w:r>
      <w:r w:rsidRPr="008B66EC">
        <w:rPr>
          <w:rFonts w:ascii="Times New Roman" w:hAnsi="Times New Roman" w:cs="Times New Roman"/>
          <w:sz w:val="24"/>
          <w:szCs w:val="24"/>
        </w:rPr>
        <w:t xml:space="preserve"> control was becoming notably pervaded by notions of differentiating “good” and “bad” individual immigrants, partly through expanded monitoring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{"citationID":"UfpTFbne","properties":{"formattedCitation":"(Flynn, 2005)","plainCitation":"(Flynn, 2005)","dontUpdate":true,"noteIndex":0},"citationItems":[{"id":280,"uris":["http://zotero.org/users/1623609/items/SE3D322V"],"uri":["http://zotero.org/users/1623609/items/SE3D322V"],"itemData":{"id":280,"type":"article-journal","container-title":"Ethnic and Racial Studies","DOI":"10.1080/0141987042000337849","ISSN":"0141-9870, 1466-4356","issue":"3","page":"463-490","source":"CrossRef","title":"New borders, new management: The dilemmas of modern immigration policies","title-short":"New borders, new management","volume":"28","author":[{"family":"Flynn","given":"Don"}],"issued":{"date-parts":[["2005",5]]}}}],"schema":"https://github.com/citation-style-language/schema/raw/master/csl-citation.json"}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(Flynn 2005)</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This individualised logic had become so firmly rooted that when the Conservatives, post-2010, </w:t>
      </w:r>
      <w:r w:rsidRPr="008B66EC">
        <w:rPr>
          <w:rFonts w:ascii="Times New Roman" w:hAnsi="Times New Roman" w:cs="Times New Roman"/>
          <w:sz w:val="24"/>
          <w:szCs w:val="24"/>
        </w:rPr>
        <w:lastRenderedPageBreak/>
        <w:t xml:space="preserve">pursued their “net migration pledge,” policymakers did not consider caps the main mechanism for pursuing this, and caps in the major area where they were employed – non-EU workers – went unmet until 2015. Even “in </w:t>
      </w:r>
      <w:r w:rsidRPr="008B66EC">
        <w:rPr>
          <w:rFonts w:ascii="Times New Roman" w:hAnsi="Times New Roman"/>
          <w:sz w:val="24"/>
        </w:rPr>
        <w:t>aim of reducing migration to the tens of thousands,” one policymaker explained, “the most relevant things we’ve done are to raise the skills level” against which individual applicants were scrutinised (Interview 21).</w:t>
      </w:r>
    </w:p>
    <w:p w14:paraId="2ED03983"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These developments underscore how profoundly policymakers’ image of the subject of the “unwanted” immigrant had shifted since the 1960s. No longer was this subject to be governed through policies that sought to keep a “broad control on numbers” of members of particular racialised communities, but rather, through intensified individual scrutiny at the border and beyond. This shift led to the “hostile environment” logic being not only possible and available, but immanent, as the pursuit of generalised restriction in the 2010s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{"citationID":"8hxRAue1","properties":{"formattedCitation":"(Gentleman, 2019, pp. 117\\uc0\\u8211{}144)","plainCitation":"(Gentleman, 2019, pp. 117–144)","dontUpdate":true,"noteIndex":0},"citationItems":[{"id":6017,"uris":["http://zotero.org/users/1623609/items/ZPGYYCYP"],"uri":["http://zotero.org/users/1623609/items/ZPGYYCYP"],"itemData":{"id":6017,"type":"book","event-place":"London","publisher":"Guardian Books","publisher-place":"London","title":"The Windrush Betrayal: Exposing the Hostile Environment","author":[{"family":"Gentleman","given":"Amelia"}],"issued":{"date-parts":[["2019"]]}},"locator":"117-144"}],"schema":"https://github.com/citation-style-language/schema/raw/master/csl-citation.json"}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(Gentleman 2019, 117–144)</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entailed a generalised growth of individual scrutiny.</w:t>
      </w:r>
    </w:p>
    <w:p w14:paraId="053B286A" w14:textId="77777777" w:rsidR="00775EC9" w:rsidRPr="008B66EC" w:rsidRDefault="00775EC9" w:rsidP="00775EC9">
      <w:pPr>
        <w:spacing w:line="480" w:lineRule="auto"/>
        <w:rPr>
          <w:rFonts w:ascii="Times New Roman" w:hAnsi="Times New Roman" w:cs="Times New Roman"/>
          <w:sz w:val="24"/>
          <w:szCs w:val="24"/>
        </w:rPr>
      </w:pPr>
    </w:p>
    <w:p w14:paraId="498A2B78" w14:textId="77777777" w:rsidR="00775EC9" w:rsidRPr="008B66EC" w:rsidRDefault="00775EC9" w:rsidP="00775EC9">
      <w:pPr>
        <w:spacing w:line="480" w:lineRule="auto"/>
        <w:rPr>
          <w:rFonts w:ascii="Times New Roman" w:hAnsi="Times New Roman"/>
          <w:sz w:val="24"/>
        </w:rPr>
      </w:pPr>
      <w:r w:rsidRPr="008B66EC">
        <w:rPr>
          <w:rFonts w:ascii="Times New Roman" w:hAnsi="Times New Roman" w:cs="Times New Roman"/>
          <w:i/>
          <w:iCs/>
          <w:sz w:val="24"/>
          <w:szCs w:val="24"/>
        </w:rPr>
        <w:t>Growing expectations of individual documentation</w:t>
      </w:r>
      <w:r w:rsidRPr="008B66EC">
        <w:rPr>
          <w:rFonts w:ascii="Times New Roman" w:hAnsi="Times New Roman" w:cs="Times New Roman"/>
          <w:sz w:val="24"/>
          <w:szCs w:val="24"/>
        </w:rPr>
        <w:t xml:space="preserve"> </w:t>
      </w:r>
    </w:p>
    <w:p w14:paraId="54B286F0" w14:textId="77777777" w:rsidR="00775EC9" w:rsidRPr="008B66EC" w:rsidRDefault="00775EC9" w:rsidP="00775EC9">
      <w:pPr>
        <w:spacing w:line="480" w:lineRule="auto"/>
        <w:ind w:firstLine="720"/>
        <w:rPr>
          <w:rFonts w:ascii="Times New Roman" w:hAnsi="Times New Roman"/>
          <w:sz w:val="24"/>
        </w:rPr>
      </w:pPr>
      <w:r w:rsidRPr="008B66EC">
        <w:rPr>
          <w:rFonts w:ascii="Times New Roman" w:hAnsi="Times New Roman"/>
          <w:sz w:val="24"/>
        </w:rPr>
        <w:t xml:space="preserve">As the above logic of individualised scrutiny became naturalised in UK immigration control, it was operationalised through gradually increased expectations of individual </w:t>
      </w:r>
      <w:r w:rsidRPr="008B66EC">
        <w:rPr>
          <w:rFonts w:ascii="Times New Roman" w:hAnsi="Times New Roman" w:cs="Times New Roman"/>
          <w:sz w:val="24"/>
          <w:szCs w:val="24"/>
        </w:rPr>
        <w:t>documentation. Individualised models for controlling racialised immigrants were initially instituted mainly to meet political pledges, without administrative enthusiasm; no extensive new infrastructure for documenting immigrants quickly accompanied this shift. Nonetheless, over time</w:t>
      </w:r>
      <w:r w:rsidRPr="008B66EC">
        <w:rPr>
          <w:rFonts w:ascii="Times New Roman" w:hAnsi="Times New Roman"/>
          <w:sz w:val="24"/>
        </w:rPr>
        <w:t xml:space="preserve">, policymakers began associating relative undocumentedness with various forms of illegality, rather than considering it a possibly legitimate product of earlier non-individualised systems which had not emphasised individual documentation. This interpretive shift became very consequential as the UK state amplified internal enforcement. </w:t>
      </w:r>
    </w:p>
    <w:p w14:paraId="5FEF980D" w14:textId="77777777" w:rsidR="00775EC9" w:rsidRPr="008B66EC" w:rsidRDefault="00775EC9" w:rsidP="00775EC9">
      <w:pPr>
        <w:spacing w:line="480" w:lineRule="auto"/>
        <w:ind w:firstLine="720"/>
        <w:rPr>
          <w:rFonts w:ascii="Times New Roman" w:hAnsi="Times New Roman"/>
          <w:sz w:val="24"/>
        </w:rPr>
      </w:pPr>
      <w:r w:rsidRPr="008B66EC">
        <w:rPr>
          <w:rFonts w:ascii="Times New Roman" w:hAnsi="Times New Roman"/>
          <w:sz w:val="24"/>
        </w:rPr>
        <w:lastRenderedPageBreak/>
        <w:t>Pre-1973, passports had been required for immigrants, but many travelled on shared, not individual, passports. While primary labour migrants additionally needed a work voucher, dependants did not require further documentation until 1969. In a ports-based system, such documents were not considered relevant after entry. 1960s policymakers saw pragmatic reasons not to require more documents. Even as suspicions of child Commonwealth dependants increased, for instance, policymakers recognised that requiring more documentation would result in refusing admission to some eligible child dependants, initially considering this “impossible… on legal and political grounds” (“Note for the Home Secretary on C.I (65)29: White Paper on Future Policy,” n.d. [1965], TNA HO 344/317), as it would harm race relations. The purposefully document-light nature of the aggregate model is essential in contextualising the relative undocumentedness of many Windrush victims.</w:t>
      </w:r>
    </w:p>
    <w:p w14:paraId="05A91606" w14:textId="77777777" w:rsidR="00775EC9" w:rsidRPr="008B66EC" w:rsidRDefault="00775EC9" w:rsidP="00775EC9">
      <w:pPr>
        <w:spacing w:line="480" w:lineRule="auto"/>
        <w:ind w:firstLine="720"/>
        <w:rPr>
          <w:rFonts w:ascii="Times New Roman" w:hAnsi="Times New Roman" w:cs="Times New Roman"/>
          <w:sz w:val="24"/>
        </w:rPr>
      </w:pPr>
      <w:r w:rsidRPr="008B66EC">
        <w:rPr>
          <w:rFonts w:ascii="Times New Roman" w:hAnsi="Times New Roman"/>
          <w:sz w:val="24"/>
        </w:rPr>
        <w:t xml:space="preserve">Under the aggregate control model, undocumentedness was not axiomatically associated with types of illegality the state was compelled to combat. As it receded, however, such interpretations became naturalised. Much like 1960s policymakers, later UK policymakers remained conscious that British administration relatively lacked population monitoring capability, frequently reflecting </w:t>
      </w:r>
      <w:r w:rsidRPr="008B66EC">
        <w:rPr>
          <w:rFonts w:ascii="Times New Roman" w:hAnsi="Times New Roman" w:cs="Times New Roman"/>
          <w:sz w:val="24"/>
        </w:rPr>
        <w:t>that “</w:t>
      </w:r>
      <w:r w:rsidRPr="008B66EC">
        <w:rPr>
          <w:rFonts w:ascii="Times New Roman" w:hAnsi="Times New Roman" w:cs="Times New Roman"/>
          <w:sz w:val="24"/>
          <w:szCs w:val="24"/>
        </w:rPr>
        <w:t>we’re not like France and Germany… where there have been identity cards and various forms of random checking… it’s just a totally different starting point</w:t>
      </w:r>
      <w:r w:rsidRPr="008B66EC">
        <w:rPr>
          <w:rFonts w:ascii="Times New Roman" w:hAnsi="Times New Roman" w:cs="Times New Roman"/>
          <w:sz w:val="24"/>
        </w:rPr>
        <w:t>” (Interview 8), which made the UK an “</w:t>
      </w:r>
      <w:r w:rsidRPr="008B66EC">
        <w:rPr>
          <w:rFonts w:ascii="Times New Roman" w:hAnsi="Times New Roman" w:cs="Times New Roman"/>
          <w:sz w:val="24"/>
          <w:szCs w:val="24"/>
        </w:rPr>
        <w:t>easy place to disappear into and then very hard for us to find people” (Interview 12)</w:t>
      </w:r>
      <w:r w:rsidRPr="008B66EC">
        <w:rPr>
          <w:rFonts w:ascii="Times New Roman" w:hAnsi="Times New Roman" w:cs="Times New Roman"/>
          <w:sz w:val="24"/>
        </w:rPr>
        <w:t>. However, while in the earlier period, this represented a reason to not require more documents or have control premised on them, in the later period, as individualised control had become naturalised, this became associated with the liabilities of a historically porous system.</w:t>
      </w:r>
    </w:p>
    <w:p w14:paraId="42BE9BDA"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Undocumentedness therefore became associated with various forms of problematic irregularity, rather than being considered the product of earlier state practices. A</w:t>
      </w:r>
      <w:r w:rsidRPr="008B66EC">
        <w:rPr>
          <w:rFonts w:ascii="Times New Roman" w:hAnsi="Times New Roman" w:cs="Times New Roman"/>
          <w:sz w:val="24"/>
        </w:rPr>
        <w:t>ccordingly, by the 1980s, increasing do</w:t>
      </w:r>
      <w:r w:rsidRPr="008B66EC">
        <w:rPr>
          <w:rFonts w:ascii="Times New Roman" w:hAnsi="Times New Roman"/>
          <w:sz w:val="24"/>
        </w:rPr>
        <w:t xml:space="preserve">cument requirements had become a “common-sensible” </w:t>
      </w:r>
      <w:r w:rsidRPr="008B66EC">
        <w:rPr>
          <w:rFonts w:ascii="Times New Roman" w:hAnsi="Times New Roman"/>
          <w:sz w:val="24"/>
        </w:rPr>
        <w:lastRenderedPageBreak/>
        <w:t>immigration policy tool, further naturalising expectations that authorised immigrants will have documents. Initial policy responses to increased asylum seeking from South Asia in 1986-1987 increased pre-departure document requirements. Lacking documents became associated with fraud; “destroy[ing] their documents” was one “</w:t>
      </w:r>
      <w:r w:rsidRPr="008B66EC">
        <w:rPr>
          <w:rFonts w:ascii="Times New Roman" w:hAnsi="Times New Roman" w:cs="Arial"/>
          <w:sz w:val="24"/>
        </w:rPr>
        <w:t xml:space="preserve">mechanism people used to try and get round” controls (Interview 4), to inhibit attempts to return them. Efforts to prevent people from arriving in the UK without documentation, such as refusing visas to people deemed likely to claim asylum or attempt to settle, affirmed the perceived link between lack of individual documentation and unauthorised immigration. </w:t>
      </w:r>
    </w:p>
    <w:p w14:paraId="256DD276" w14:textId="77777777" w:rsidR="00775EC9" w:rsidRPr="008B66EC" w:rsidRDefault="00775EC9" w:rsidP="00775EC9">
      <w:pPr>
        <w:spacing w:line="480" w:lineRule="auto"/>
        <w:ind w:firstLine="720"/>
        <w:rPr>
          <w:rFonts w:ascii="Times New Roman" w:hAnsi="Times New Roman" w:cs="Arial"/>
          <w:sz w:val="24"/>
        </w:rPr>
      </w:pPr>
      <w:r w:rsidRPr="008B66EC">
        <w:rPr>
          <w:rFonts w:ascii="Times New Roman" w:hAnsi="Times New Roman" w:cs="Arial"/>
          <w:sz w:val="24"/>
        </w:rPr>
        <w:t>Later policymakers also perceived that people who entered the UK on time-limited visas or with contingent leave would often overstay and work. For such people, “it was pretty easy to get a National Insurance number,… they worked” (Interview 11), as one parliamentarian reflected. Under the aggregate model, such cases did not preoccupy policymakers, but as the Home Office became expected politically to control diversifying forms of post-Cold War migration, this orientation shifted. As a former political adviser recalled, from a position where immigration control had been based at the ports,</w:t>
      </w:r>
    </w:p>
    <w:p w14:paraId="012FD1A9" w14:textId="77777777" w:rsidR="00775EC9" w:rsidRPr="008B66EC" w:rsidRDefault="00775EC9" w:rsidP="00775EC9">
      <w:pPr>
        <w:spacing w:line="480" w:lineRule="auto"/>
        <w:ind w:left="720"/>
        <w:rPr>
          <w:rFonts w:ascii="Times New Roman" w:hAnsi="Times New Roman" w:cs="Arial"/>
          <w:sz w:val="24"/>
        </w:rPr>
      </w:pPr>
      <w:r w:rsidRPr="008B66EC">
        <w:rPr>
          <w:rFonts w:ascii="Times New Roman" w:hAnsi="Times New Roman" w:cs="Cambria"/>
          <w:sz w:val="24"/>
          <w:szCs w:val="24"/>
        </w:rPr>
        <w:t>Suddenly [the Home Office] had to do a lot of internal enforcement activity and case management. … You had internal case management for asylum seekers;… you had many more people coming on visas and other routes for whom there was then questions about enforcement if they overstayed or whatever. Suddenly, the Home Office needed the capabilities and the administrative capacity to operate those sorts of systems, and it just hadn’t had them. (Interview 16)</w:t>
      </w:r>
    </w:p>
    <w:p w14:paraId="228AFD3D" w14:textId="77777777" w:rsidR="00775EC9" w:rsidRPr="008B66EC" w:rsidRDefault="00775EC9" w:rsidP="00775EC9">
      <w:pPr>
        <w:spacing w:line="480" w:lineRule="auto"/>
        <w:ind w:firstLine="720"/>
        <w:rPr>
          <w:rFonts w:ascii="Times New Roman" w:hAnsi="Times New Roman" w:cs="Arial"/>
          <w:sz w:val="24"/>
        </w:rPr>
      </w:pPr>
      <w:r w:rsidRPr="008B66EC">
        <w:rPr>
          <w:rFonts w:ascii="Times New Roman" w:hAnsi="Times New Roman" w:cs="Arial"/>
          <w:sz w:val="24"/>
        </w:rPr>
        <w:t xml:space="preserve">The building of this architecture after higher expectations of immigrant documentation had already become naturalised meant that those assumptions became entrenched. In this way, while policymakers remained aware of the UK’s limited population </w:t>
      </w:r>
      <w:r w:rsidRPr="008B66EC">
        <w:rPr>
          <w:rFonts w:ascii="Times New Roman" w:hAnsi="Times New Roman" w:cs="Arial"/>
          <w:sz w:val="24"/>
        </w:rPr>
        <w:lastRenderedPageBreak/>
        <w:t>monitoring capabilities, an interpretive image nonetheless took root whereby relative undocumentedness indicated people who had taken unauthorised advantage of patchy practices, rather than postcolonial immigrants who could very well be legally settled.</w:t>
      </w:r>
    </w:p>
    <w:p w14:paraId="4921D385" w14:textId="77777777" w:rsidR="00775EC9" w:rsidRPr="008B66EC" w:rsidRDefault="00775EC9" w:rsidP="00775EC9">
      <w:pPr>
        <w:spacing w:line="480" w:lineRule="auto"/>
        <w:rPr>
          <w:rFonts w:ascii="Times New Roman" w:hAnsi="Times New Roman"/>
          <w:sz w:val="24"/>
        </w:rPr>
      </w:pPr>
    </w:p>
    <w:p w14:paraId="31BC69CD" w14:textId="77777777" w:rsidR="00775EC9" w:rsidRPr="008B66EC" w:rsidRDefault="00775EC9" w:rsidP="00775EC9">
      <w:pPr>
        <w:spacing w:line="480" w:lineRule="auto"/>
        <w:rPr>
          <w:rFonts w:ascii="Times New Roman" w:hAnsi="Times New Roman"/>
          <w:sz w:val="24"/>
        </w:rPr>
      </w:pPr>
      <w:r w:rsidRPr="008B66EC">
        <w:rPr>
          <w:rFonts w:ascii="Times New Roman" w:hAnsi="Times New Roman"/>
          <w:i/>
          <w:iCs/>
          <w:sz w:val="24"/>
        </w:rPr>
        <w:t>Individualising immigrants, decentring race</w:t>
      </w:r>
    </w:p>
    <w:p w14:paraId="24339C6A" w14:textId="134DF850" w:rsidR="00775EC9" w:rsidRPr="008B66EC" w:rsidRDefault="00775EC9" w:rsidP="00775EC9">
      <w:pPr>
        <w:spacing w:line="480" w:lineRule="auto"/>
        <w:rPr>
          <w:rFonts w:ascii="Times New Roman" w:hAnsi="Times New Roman"/>
          <w:sz w:val="24"/>
        </w:rPr>
      </w:pPr>
      <w:r w:rsidRPr="008B66EC">
        <w:rPr>
          <w:rFonts w:ascii="Times New Roman" w:hAnsi="Times New Roman"/>
          <w:sz w:val="24"/>
        </w:rPr>
        <w:tab/>
        <w:t xml:space="preserve">As the individualised model of immigration control became naturalised, earlier concerns about antagonising settled postcolonial minority communities became decreasingly prominent as a topic of deliberation among British immigration policymakers. To UK policymakers of the 1960s, immigration policy had been plainly about race, as controlling immigration was explicitly connected to goals of controlling intercommunal relations among racial groups within Britain, in empire’s aftermath. </w:t>
      </w:r>
      <w:r w:rsidRPr="008B66EC">
        <w:rPr>
          <w:rFonts w:ascii="Times New Roman" w:hAnsi="Times New Roman" w:cs="Times New Roman"/>
          <w:sz w:val="24"/>
          <w:szCs w:val="24"/>
        </w:rPr>
        <w:t xml:space="preserve">The racism of these policies (described as a “colour bar”) was a prominent topic in political discourse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{"citationID":"LtnJVUpg","properties":{"formattedCitation":"(Solomos, 1993, p. 66)","plainCitation":"(Solomos, 1993, p. 66)","dontUpdate":true,"noteIndex":0},"citationItems":[{"id":5773,"uris":["http://zotero.org/users/1623609/items/W6IZ3ETQ"],"uri":["http://zotero.org/users/1623609/items/W6IZ3ETQ"],"itemData":{"id":5773,"type":"book","abstract":"The new edition of this widely acclaimed text has been thoroughly revised and updated throughout and extended to provide more detailed coverage of social policy issues and comparisons with other European countries.","ISBN":"978-1-349-22911-6","language":"en","note":"Google-Books-ID: 3EldDwAAQBAJ","number-of-pages":"292","publisher":"Macmillan International Higher Education","source":"Google Books","title":"Race and Racism in Britain","author":[{"family":"Solomos","given":"John"}],"issued":{"date-parts":[["1993",8,17]]}},"locator":"66"}],"schema":"https://github.com/citation-style-language/schema/raw/master/csl-citation.json"}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(Solomos 1993, 66)</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w:t>
      </w:r>
      <w:r w:rsidRPr="008B66EC">
        <w:rPr>
          <w:rFonts w:ascii="Times New Roman" w:hAnsi="Times New Roman"/>
          <w:sz w:val="24"/>
        </w:rPr>
        <w:t xml:space="preserve">Among policymakers, a paternalist consensus around “race relations” entailed, effectively, slashing non-white immigration while trying to avoid (perceptions of) </w:t>
      </w:r>
      <w:r w:rsidR="00F92156">
        <w:rPr>
          <w:rFonts w:ascii="Times New Roman" w:hAnsi="Times New Roman"/>
          <w:sz w:val="24"/>
        </w:rPr>
        <w:t>domestic discrimination</w:t>
      </w:r>
      <w:r w:rsidRPr="008B66EC">
        <w:rPr>
          <w:rFonts w:ascii="Times New Roman" w:hAnsi="Times New Roman"/>
          <w:sz w:val="24"/>
        </w:rPr>
        <w:t xml:space="preserve">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{"citationID":"IZTe9QaW","properties":{"formattedCitation":"(Hansen 2000, 137\\uc0\\u8211{}39)","plainCitation":"(Hansen 2000, 137–39)","dontUpdate":true,"noteIndex":0},"citationItems":[{"id":526,"uris":["http://zotero.org/users/1623609/items/8W6XCIRQ"],"uri":["http://zotero.org/users/1623609/items/8W6XCIRQ"],"itemData":{"id":526,"type":"book","event-place":"Oxford","publisher":"Oxford University Press","publisher-place":"Oxford","title":"Citizenship and Immigration in a Postwar Britain: The Institutional Origins of a Multicultural Nation","author":[{"family":"Hansen","given":"Randall"}],"issued":{"date-parts":[["2000"]]}},"locator":"137-139"}],"schema":"https://github.com/citation-style-language/schema/raw/master/csl-citation.json"}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szCs w:val="24"/>
        </w:rPr>
        <w:t>(Hansen 2000, 137–139)</w:t>
      </w:r>
      <w:r w:rsidRPr="008B66EC">
        <w:rPr>
          <w:rFonts w:ascii="Times New Roman" w:hAnsi="Times New Roman"/>
          <w:sz w:val="24"/>
        </w:rPr>
        <w:fldChar w:fldCharType="end"/>
      </w:r>
      <w:r w:rsidRPr="008B66EC">
        <w:rPr>
          <w:rFonts w:ascii="Times New Roman" w:hAnsi="Times New Roman"/>
          <w:sz w:val="24"/>
        </w:rPr>
        <w:t xml:space="preserve">. While white immigrants from “Old Commonwealth” settler colonies were not controversial and policymakers contemplated “exempt[ing] them from the provisions,” mid-1960s policymakers had concluded “this would be open and admitted discrimination and presumably would not be acceptable” (Garner to Beswick, “Immigration Controls,” TNA FO 50/72, 24 May 1967). Even when the Commonwealth Immigrants Act 1968 formally privileged British descent – and thereby race – in UK residence rights, policymakers nonetheless justified this around “whether we were likely to be able to achieve increased tolerance [with] uncontrolled entry” (Callaghan to Pitt, “Draft Letter,” TNA HO 344/325, n.d. [1968]). Within this policy of maintaining “race relations,” immigration policymakers targeted racialised immigrants with restrictions, with the argument they were </w:t>
      </w:r>
      <w:r w:rsidRPr="008B66EC">
        <w:rPr>
          <w:rFonts w:ascii="Times New Roman" w:hAnsi="Times New Roman"/>
          <w:sz w:val="24"/>
        </w:rPr>
        <w:lastRenderedPageBreak/>
        <w:t xml:space="preserve">necessary for integration and tranquillity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{"citationID":"wSNvCYXc","properties":{"formattedCitation":"(Small &amp; Solomos, 2006, p. 243)","plainCitation":"(Small &amp; Solomos, 2006, p. 243)","noteIndex":0},"citationItems":[{"id":8153,"uris":["http://zotero.org/users/1623609/items/EFXWR3US"],"uri":["http://zotero.org/users/1623609/items/EFXWR3US"],"itemData":{"id":8153,"type":"article-journal","abstract":"This article provides a description and interpretation of a series of key issues, debates and questions around immigration and race in Britain between the 1940s and the early 2000s. We highlight these issues and characterize some of the major theoretical models (and concepts) that have been deployed to interpret and explain them. Our primary concern here is with the main policies that helped to construct and frame immigration policies and the key domestic ‘race relations’ policies that were linked to them. We also provide a critique of the ways in which some of the most prominent academics during this period have contributed to the unfolding of these processes, in particular, how their work has been used to frame government thinking and policy formulation and implementation. We hope that our characterization of the main trajectory of policy and academic discourse over the past few decades will provide an opportunity for a more intensive evaluation of particular moments in this trajectory.","container-title":"International Journal of Comparative Sociology","DOI":"10.1177/0020715206065781","ISSN":"0020-7152","issue":"3-4","journalAbbreviation":"International Journal of Comparative Sociology","language":"en","note":"publisher: SAGE Publications Ltd","page":"235-257","source":"SAGE Journals","title":"Race, Immigration and Politics in Britain: Changing Policy Agendas and Conceptual Paradigms 1940s–2000s","title-short":"Race, Immigration and Politics in Britain","volume":"47","author":[{"family":"Small","given":"Stephen"},{"family":"Solomos","given":"John"}],"issued":{"date-parts":[["2006",8,1]]}},"locator":"243"}],"schema":"https://github.com/citation-style-language/schema/raw/master/csl-citation.json"}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(Small &amp; Solomos, 2006, p. 243)</w:t>
      </w:r>
      <w:r w:rsidRPr="008B66EC">
        <w:rPr>
          <w:rFonts w:ascii="Times New Roman" w:hAnsi="Times New Roman"/>
          <w:sz w:val="24"/>
        </w:rPr>
        <w:fldChar w:fldCharType="end"/>
      </w:r>
      <w:r w:rsidRPr="008B66EC">
        <w:rPr>
          <w:rFonts w:ascii="Times New Roman" w:hAnsi="Times New Roman"/>
          <w:sz w:val="24"/>
        </w:rPr>
        <w:t xml:space="preserve">; but concerns with integration meant a (somewhat paradoxical) simultaneous goal that entry policies not antagonise settled racial minority groups by being perceived too strongly as unfair to them. </w:t>
      </w:r>
    </w:p>
    <w:p w14:paraId="6B045829" w14:textId="77777777" w:rsidR="00775EC9" w:rsidRPr="008B66EC" w:rsidRDefault="00775EC9" w:rsidP="00775EC9">
      <w:pPr>
        <w:spacing w:line="480" w:lineRule="auto"/>
        <w:rPr>
          <w:rFonts w:ascii="Times New Roman" w:hAnsi="Times New Roman"/>
          <w:sz w:val="24"/>
        </w:rPr>
      </w:pPr>
      <w:r w:rsidRPr="008B66EC">
        <w:rPr>
          <w:rFonts w:ascii="Times New Roman" w:hAnsi="Times New Roman"/>
          <w:sz w:val="24"/>
        </w:rPr>
        <w:tab/>
        <w:t xml:space="preserve">This is absent from policymaker interview data from later periods. While “race relations” persisted as a key framework in migration policy through at least the 1970s, and later in discussions of integration, by the mid-1990s, notions that immigration restriction was necessary for race relations remained in (mainly Conservative) politicians’ rhetoric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{"citationID":"WvNpp3a3","properties":{"formattedCitation":"(Spencer, 2005)","plainCitation":"(Spencer, 2005)","dontUpdate":true,"noteIndex":0},"citationItems":[{"id":7525,"uris":["http://zotero.org/users/1623609/items/WSHE4HQR"],"uri":["http://zotero.org/users/1623609/items/WSHE4HQR"],"itemData":{"id":7525,"type":"chapter","abstract":"Bringing together distinguished experts in the field of race relations this book addresses questions which are increasingly relevant in the current socio-political context of Great Britain. The kind of visions of multicultural Britain which are currently being canvassed and the problems which ethnic minorities continue to face are addressed, together with an examination of the new policy initiatives which are needed to tackle these problems. Race Relations in Britain falls into three parts which:* analyse contemporary trends, articulating a vision of multicultural Britain and exploring important theoretical controversies* identify the obstacles that stand in the way of a racism-free Britain, looking at current policy in areas such as immigration, employment, education, the criminal justice system as well as the role of the media* offer a vision of a multi-cultural Britain, advancing new policies based on current research.","container-title":"Race Relations in Britain: A Developing Agenda","edition":"2nd ed.","ISBN":"978-1-134-74910-2","language":"en","note":"Google-Books-ID: mLYfTXYEk7cC","page":"74-95","publisher":"Routledge","source":"Google Books","title":"The impact of immigration policy on race relations","editor":[{"family":"Blackstone","given":"Tessa"},{"family":"Parekh","given":"Bhikhu"},{"family":"Sanders","given":"Peter"}],"author":[{"family":"Spencer","given":"Sarah"}],"issued":{"date-parts":[["2005",6,27]]}}}],"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(Spencer 2005)</w:t>
      </w:r>
      <w:r w:rsidRPr="008B66EC">
        <w:rPr>
          <w:rFonts w:ascii="Times New Roman" w:hAnsi="Times New Roman"/>
          <w:sz w:val="24"/>
        </w:rPr>
        <w:fldChar w:fldCharType="end"/>
      </w:r>
      <w:r w:rsidRPr="008B66EC">
        <w:rPr>
          <w:rFonts w:ascii="Times New Roman" w:hAnsi="Times New Roman"/>
          <w:sz w:val="24"/>
        </w:rPr>
        <w:t xml:space="preserve">, but there was little of the previously accompanying deliberation about immigration control’s impacts on settled racial minorities. The receding of this intercommunal way of thinking about UK immigration policy goals fit with wider trends, as European states decreasingly perceived their immigration policy dilemmas as relating to distinct groups to whom they had imperial or societal connections, but instead to more generic, shared images of “unwanted” migrants from the Global South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{"citationID":"r11MDMm6","properties":{"formattedCitation":"(Shearmur, 2021, pp. 148\\uc0\\u8211{}149)","plainCitation":"(Shearmur, 2021, pp. 148–149)","noteIndex":0},"citationItems":[{"id":8168,"uris":["http://zotero.org/users/1623609/items/QY2FML7Q"],"uri":["http://zotero.org/users/1623609/items/QY2FML7Q"],"itemData":{"id":8168,"type":"thesis","publisher":"University of Cambridge","title":"British immigration policymaking and European integration, 1973-1990","author":[{"family":"Shearmur","given":"Yasmin"}],"issued":{"date-parts":[["2021"]]}},"locator":"148-149"}],"schema":"https://github.com/citation-style-language/schema/raw/master/csl-citation.json"}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Calibri"/>
          <w:sz w:val="24"/>
          <w:szCs w:val="24"/>
        </w:rPr>
        <w:t>(Shearmur 2021, 148–149)</w:t>
      </w:r>
      <w:r w:rsidRPr="008B66EC">
        <w:rPr>
          <w:rFonts w:ascii="Times New Roman" w:hAnsi="Times New Roman"/>
          <w:sz w:val="24"/>
        </w:rPr>
        <w:fldChar w:fldCharType="end"/>
      </w:r>
      <w:r w:rsidRPr="008B66EC">
        <w:rPr>
          <w:rFonts w:ascii="Times New Roman" w:hAnsi="Times New Roman"/>
          <w:sz w:val="24"/>
        </w:rPr>
        <w:t xml:space="preserve">. </w:t>
      </w:r>
    </w:p>
    <w:p w14:paraId="20B70BF1" w14:textId="77777777" w:rsidR="00775EC9" w:rsidRPr="008B66EC" w:rsidRDefault="00775EC9" w:rsidP="00775EC9">
      <w:pPr>
        <w:spacing w:line="480" w:lineRule="auto"/>
        <w:ind w:firstLine="720"/>
        <w:rPr>
          <w:rFonts w:ascii="Times New Roman" w:hAnsi="Times New Roman"/>
          <w:sz w:val="24"/>
        </w:rPr>
      </w:pPr>
      <w:r w:rsidRPr="008B66EC">
        <w:rPr>
          <w:rFonts w:ascii="Times New Roman" w:hAnsi="Times New Roman"/>
          <w:sz w:val="24"/>
        </w:rPr>
        <w:t>After the New Labour government broke with an exclusively restrictionist orientation in immigration policy, liberalising some areas, even this residual race relations-migration policy link faded. This tracked surface-level changes in UK immigration politics, accompanying wider shifts in social norms around explicit racism: Policymakers no longer perceived race as a factor immanent in political demands around immigration, which instead focused on “</w:t>
      </w:r>
      <w:r w:rsidRPr="008B66EC">
        <w:rPr>
          <w:rFonts w:ascii="Times New Roman" w:hAnsi="Times New Roman" w:cs="Arial"/>
          <w:sz w:val="24"/>
        </w:rPr>
        <w:t>a fair system, one that was properly enforced and administered”</w:t>
      </w:r>
      <w:r w:rsidRPr="008B66EC">
        <w:rPr>
          <w:rFonts w:ascii="Times New Roman" w:hAnsi="Times New Roman"/>
          <w:sz w:val="24"/>
        </w:rPr>
        <w:t xml:space="preserve"> (Interview 16), in respect to individual cases. The notions of individual worthiness or deservingness that policymakers employed avoided explicit racial discussion while implicitly encoding it in economic and cultural terms </w:t>
      </w:r>
      <w:r w:rsidRPr="008B66EC">
        <w:rPr>
          <w:rFonts w:ascii="Times New Roman" w:hAnsi="Times New Roman"/>
          <w:sz w:val="24"/>
        </w:rPr>
        <w:fldChar w:fldCharType="begin"/>
      </w:r>
      <w:r w:rsidRPr="008B66EC">
        <w:rPr>
          <w:rFonts w:ascii="Times New Roman" w:hAnsi="Times New Roman"/>
          <w:sz w:val="24"/>
        </w:rPr>
        <w:instrText xml:space="preserve"> ADDIN ZOTERO_ITEM CSL_CITATION {"citationID":"NP7zT2YD","properties":{"formattedCitation":"(Sales, 2002)","plainCitation":"(Sales, 2002)","noteIndex":0},"citationItems":[{"id":4896,"uris":["http://zotero.org/users/1623609/items/JCRY5QWH"],"uri":["http://zotero.org/users/1623609/items/JCRY5QWH"],"itemData":{"id":4896,"type":"article-journal","abstract":"This article focuses on recent policy in relation to asylum which has created a new social category of asylum seeker, increasingly portrayed as 'undeserving' in contrast to the 'deserving' refugee. Asylum policy in Britain is preoccupied with control, with no national system for the settlement of refugees. The new social support system for asylum seekers, particularly the voucher system and compulsory dispersal, serve to isolate them from society and promote intense social exclusion. Policies to promote the social inclusion of recognized refugees are limited, uneven and dependent on voluntary initiative. They are also harmed by the punitive system of social support for asylum seekers. Acute recent labour shortages, which have forced employers to recruit overseas, have opened up the debate on immigration, and present the possibility of developing a more progressive agenda based on a commitment to human rights.","container-title":"Critical Social Policy","ISSN":"0261-0183","issue":"3","journalAbbreviation":"Critical Social Policy","language":"en","page":"456-478","source":"SAGE Journals","title":"The deserving and the undeserving? Refugees, asylum seekers and welfare in Britain","title-short":"The deserving and the undeserving?","volume":"22","author":[{"family":"Sales","given":"Rosemary"}],"issued":{"date-parts":[["2002",8,1]]}}}],"schema":"https://github.com/citation-style-language/schema/raw/master/csl-citation.json"} </w:instrText>
      </w:r>
      <w:r w:rsidRPr="008B66EC">
        <w:rPr>
          <w:rFonts w:ascii="Times New Roman" w:hAnsi="Times New Roman"/>
          <w:sz w:val="24"/>
        </w:rPr>
        <w:fldChar w:fldCharType="separate"/>
      </w:r>
      <w:r w:rsidRPr="008B66EC">
        <w:rPr>
          <w:rFonts w:ascii="Times New Roman" w:hAnsi="Times New Roman" w:cs="Times New Roman"/>
          <w:sz w:val="24"/>
        </w:rPr>
        <w:t>(Sales, 2002)</w:t>
      </w:r>
      <w:r w:rsidRPr="008B66EC">
        <w:rPr>
          <w:rFonts w:ascii="Times New Roman" w:hAnsi="Times New Roman"/>
          <w:sz w:val="24"/>
        </w:rPr>
        <w:fldChar w:fldCharType="end"/>
      </w:r>
      <w:r w:rsidRPr="008B66EC">
        <w:rPr>
          <w:rFonts w:ascii="Times New Roman" w:hAnsi="Times New Roman"/>
          <w:sz w:val="24"/>
        </w:rPr>
        <w:t xml:space="preserve">. Correspondingly, policymakers were deliberating much less about group effects, as policy images instead focused overwhelmingly on scrupulous decision-making and enforcement in individual cases. </w:t>
      </w:r>
    </w:p>
    <w:p w14:paraId="2951D785" w14:textId="77777777" w:rsidR="00775EC9" w:rsidRPr="008B66EC" w:rsidRDefault="00775EC9" w:rsidP="00775EC9">
      <w:pPr>
        <w:spacing w:line="480" w:lineRule="auto"/>
        <w:ind w:firstLine="720"/>
        <w:rPr>
          <w:rFonts w:ascii="Times New Roman" w:hAnsi="Times New Roman" w:cs="Arial"/>
          <w:sz w:val="24"/>
        </w:rPr>
      </w:pPr>
      <w:r w:rsidRPr="008B66EC">
        <w:rPr>
          <w:rFonts w:ascii="Times New Roman" w:hAnsi="Times New Roman"/>
          <w:sz w:val="24"/>
        </w:rPr>
        <w:lastRenderedPageBreak/>
        <w:t>The emergence of asylum as a prominent source of new racialised immigrants in Britain helped to cement shifts toward individuation, as discussed earlier. Even in often dealing consciously with asylum seekers from ex-colonies, policymakers did not see themselves as addressing questions around racism or race relations, but rather questions of,</w:t>
      </w:r>
      <w:r w:rsidRPr="008B66EC">
        <w:rPr>
          <w:rFonts w:ascii="Times New Roman" w:hAnsi="Times New Roman" w:cs="Arial"/>
          <w:sz w:val="24"/>
        </w:rPr>
        <w:t xml:space="preserve"> “</w:t>
      </w:r>
      <w:r w:rsidRPr="008B66EC">
        <w:rPr>
          <w:rFonts w:ascii="Times New Roman" w:hAnsi="Times New Roman" w:cs="Arial"/>
          <w:iCs/>
          <w:sz w:val="24"/>
        </w:rPr>
        <w:t>Are you being fair? Are you breaching people’s human rights?” (Interview 3)</w:t>
      </w:r>
      <w:r w:rsidRPr="008B66EC">
        <w:rPr>
          <w:rFonts w:ascii="Times New Roman" w:hAnsi="Times New Roman"/>
          <w:sz w:val="24"/>
        </w:rPr>
        <w:t>, and criticisms that “</w:t>
      </w:r>
      <w:r w:rsidRPr="008B66EC">
        <w:rPr>
          <w:rFonts w:ascii="Times New Roman" w:hAnsi="Times New Roman" w:cs="Arial"/>
          <w:sz w:val="24"/>
        </w:rPr>
        <w:t>we were getting decisions wrong” (Interview 12)</w:t>
      </w:r>
      <w:r w:rsidRPr="008B66EC">
        <w:rPr>
          <w:rFonts w:ascii="Times New Roman" w:hAnsi="Times New Roman" w:cs="Arial"/>
          <w:iCs/>
          <w:sz w:val="24"/>
        </w:rPr>
        <w:t xml:space="preserve">. </w:t>
      </w:r>
      <w:r w:rsidRPr="008B66EC">
        <w:rPr>
          <w:rFonts w:ascii="Times New Roman" w:hAnsi="Times New Roman"/>
          <w:sz w:val="24"/>
        </w:rPr>
        <w:t>Policymakers deliberated about the consequences of proposed policies,</w:t>
      </w:r>
      <w:r w:rsidRPr="008B66EC">
        <w:rPr>
          <w:rFonts w:ascii="Times New Roman" w:hAnsi="Times New Roman" w:cs="Arial"/>
          <w:sz w:val="24"/>
        </w:rPr>
        <w:t xml:space="preserve"> </w:t>
      </w:r>
      <w:r w:rsidRPr="008B66EC">
        <w:rPr>
          <w:rFonts w:ascii="Times New Roman" w:hAnsi="Times New Roman"/>
          <w:sz w:val="24"/>
        </w:rPr>
        <w:t>but upon individualised lives rather than communities. During efforts to deter asylum-seeking in the 1990s, for instance, the question of “</w:t>
      </w:r>
      <w:r w:rsidRPr="008B66EC">
        <w:rPr>
          <w:rFonts w:ascii="Times New Roman" w:hAnsi="Times New Roman" w:cs="Arial"/>
          <w:sz w:val="24"/>
        </w:rPr>
        <w:t xml:space="preserve">whether it was an immoral proposal” to restrict asylum seekers’ welfare access rested on “whether it could result in people being left destitute” (Interview 7); whether policies amounted to racialised disadvantage, or would be criticised this way, had lost salience. </w:t>
      </w:r>
    </w:p>
    <w:p w14:paraId="43C5E148" w14:textId="77777777" w:rsidR="00775EC9" w:rsidRPr="008B66EC" w:rsidRDefault="00775EC9" w:rsidP="00775EC9">
      <w:pPr>
        <w:spacing w:line="480" w:lineRule="auto"/>
        <w:rPr>
          <w:rFonts w:ascii="Times New Roman" w:hAnsi="Times New Roman" w:cs="Arial"/>
          <w:sz w:val="24"/>
        </w:rPr>
      </w:pPr>
      <w:r w:rsidRPr="008B66EC">
        <w:rPr>
          <w:rFonts w:ascii="Times New Roman" w:hAnsi="Times New Roman" w:cs="Arial"/>
          <w:sz w:val="24"/>
        </w:rPr>
        <w:tab/>
        <w:t xml:space="preserve">This individualised way of approaching immigration control extended beyond asylum and into areas less loaded with individual rights claims, including labour migration. The increasing importance of “economic worthiness” </w:t>
      </w:r>
      <w:r w:rsidRPr="008B66EC">
        <w:rPr>
          <w:rFonts w:ascii="Times New Roman" w:hAnsi="Times New Roman" w:cs="Arial"/>
          <w:sz w:val="24"/>
        </w:rPr>
        <w:fldChar w:fldCharType="begin"/>
      </w:r>
      <w:r w:rsidRPr="008B66EC">
        <w:rPr>
          <w:rFonts w:ascii="Times New Roman" w:hAnsi="Times New Roman" w:cs="Arial"/>
          <w:sz w:val="24"/>
        </w:rPr>
        <w:instrText xml:space="preserve"> ADDIN ZOTERO_ITEM CSL_CITATION {"citationID":"0tk7pIcq","properties":{"formattedCitation":"(Consterdine, 2020, pp. 193\\uc0\\u8211{}196)","plainCitation":"(Consterdine, 2020, pp. 193–196)","dontUpdate":true,"noteIndex":0},"citationItems":[{"id":7356,"uris":["http://zotero.org/users/1623609/items/U4LEKL9T"],"uri":["http://zotero.org/users/1623609/items/U4LEKL9T"],"itemData":{"id":7356,"type":"article-journal","abstract":"The drivers of immigration policy have long been contested. While partisan theory contends that policy is a product of parties’ interests, historical institutionalism places explanatory value on the norms of policymaking and path dependency. Examining Conservative-led immigration policy, I argue that while parties matter for defining policy objectives, institutions explain policy outputs. Despite a shift from Labour’s expansive managed migration regime to the Coalition’s restrictive policy, there was remarkable confluence in policy and policymaking. Challenging the parties matter school of thought, I argue that institutional legacies inherited from New Labour explain policy stability and that these are reflective of an emerging political consensus on neoliberal migration management, including outsourcing and commodifying migration controls, maintaining an indirect corporatist agreement with employers, underpinned by a policy paradigm predicated on economic worthiness. This article demonstrates how inherited institutions persist and how ideational legacies evolved to a political consensus of neoliberal migration management.","container-title":"The British Journal of Politics and International Relations","DOI":"10.1177/1369148119890253","ISSN":"1369-1481","issue":"2","journalAbbreviation":"The British Journal of Politics and International Relations","language":"en","note":"publisher: SAGE Publications","page":"182-201","source":"SAGE Journals","title":"Parties matter but institutions live on: Labour’s legacy on Conservative immigration policy and the neoliberal consensus","title-short":"Parties matter but institutions live on","volume":"22","author":[{"family":"Consterdine","given":"Erica"}],"issued":{"date-parts":[["2020",5,1]]}},"locator":"193-196"}],"schema":"https://github.com/citation-style-language/schema/raw/master/csl-citation.json"} </w:instrText>
      </w:r>
      <w:r w:rsidRPr="008B66EC">
        <w:rPr>
          <w:rFonts w:ascii="Times New Roman" w:hAnsi="Times New Roman" w:cs="Arial"/>
          <w:sz w:val="24"/>
        </w:rPr>
        <w:fldChar w:fldCharType="separate"/>
      </w:r>
      <w:r w:rsidRPr="008B66EC">
        <w:rPr>
          <w:rFonts w:ascii="Times New Roman" w:hAnsi="Times New Roman" w:cs="Times New Roman"/>
          <w:sz w:val="24"/>
          <w:szCs w:val="24"/>
        </w:rPr>
        <w:t>(Consterdine 2020, 193–196)</w:t>
      </w:r>
      <w:r w:rsidRPr="008B66EC">
        <w:rPr>
          <w:rFonts w:ascii="Times New Roman" w:hAnsi="Times New Roman" w:cs="Arial"/>
          <w:sz w:val="24"/>
        </w:rPr>
        <w:fldChar w:fldCharType="end"/>
      </w:r>
      <w:r w:rsidRPr="008B66EC">
        <w:rPr>
          <w:rFonts w:ascii="Times New Roman" w:hAnsi="Times New Roman" w:cs="Arial"/>
          <w:sz w:val="24"/>
        </w:rPr>
        <w:t xml:space="preserve"> in UK immigration policy from the early 2000s continued to centre individual qualification in migration policy images. Deliberations over these policies did not prominently feature possible criticisms of racial impacts. For example, in discussing efforts to reduce labour migration under the 2010s Conservative-led government, one 2010s policymaker recounted,</w:t>
      </w:r>
    </w:p>
    <w:p w14:paraId="19606A70" w14:textId="77777777" w:rsidR="00775EC9" w:rsidRPr="008B66EC" w:rsidRDefault="00775EC9" w:rsidP="00775EC9">
      <w:pPr>
        <w:spacing w:line="480" w:lineRule="auto"/>
        <w:ind w:left="720"/>
        <w:rPr>
          <w:rFonts w:ascii="Times New Roman" w:hAnsi="Times New Roman"/>
          <w:sz w:val="24"/>
        </w:rPr>
      </w:pPr>
      <w:r w:rsidRPr="008B66EC">
        <w:rPr>
          <w:rFonts w:ascii="Times New Roman" w:hAnsi="Times New Roman"/>
          <w:sz w:val="24"/>
        </w:rPr>
        <w:t>A lot of people coming in were coming in to do fairly low-skilled jobs, like cooks. There’s a hell of a lot of Indian restaurant, Chinese takeaway stuff going on.... As soon as we raised the skills level, you take out loads of occupations that are just not eligible anymore. (Interview 21)</w:t>
      </w:r>
    </w:p>
    <w:p w14:paraId="22E01804" w14:textId="77777777" w:rsidR="00775EC9" w:rsidRPr="008B66EC" w:rsidRDefault="00775EC9" w:rsidP="00775EC9">
      <w:pPr>
        <w:spacing w:line="480" w:lineRule="auto"/>
        <w:rPr>
          <w:rFonts w:ascii="Times New Roman" w:hAnsi="Times New Roman"/>
          <w:sz w:val="24"/>
        </w:rPr>
      </w:pPr>
      <w:r w:rsidRPr="008B66EC">
        <w:rPr>
          <w:rFonts w:ascii="Times New Roman" w:hAnsi="Times New Roman"/>
          <w:sz w:val="24"/>
        </w:rPr>
        <w:t xml:space="preserve">Such discussion remains rooted in the concept of individual skill level qualification adjustments, without reflection that such policies may be (criticised as) entrenching </w:t>
      </w:r>
      <w:r w:rsidRPr="008B66EC">
        <w:rPr>
          <w:rFonts w:ascii="Times New Roman" w:hAnsi="Times New Roman"/>
          <w:sz w:val="24"/>
        </w:rPr>
        <w:lastRenderedPageBreak/>
        <w:t>systematic racial disadvantage – despite the overt presence of racialised groups in the policy image. This underscores how, by the 2014 Act, race had been buried well below the level of conscious policy deliberation, as immigration control no longer was understood as being about communal impacts, but rather about deciding individual cases. The 1971 Act’s shift away from aggregate conceptualisations of immigration control seemed lasting, in favour of a thoroughly individualised subjectivity of the postcolonial immigrant.</w:t>
      </w:r>
    </w:p>
    <w:p w14:paraId="0A061651" w14:textId="77777777" w:rsidR="00775EC9" w:rsidRPr="008B66EC" w:rsidRDefault="00775EC9" w:rsidP="00775EC9">
      <w:pPr>
        <w:spacing w:line="480" w:lineRule="auto"/>
        <w:rPr>
          <w:rFonts w:ascii="Times New Roman" w:hAnsi="Times New Roman" w:cs="Times New Roman"/>
          <w:b/>
          <w:bCs/>
          <w:sz w:val="24"/>
          <w:szCs w:val="24"/>
        </w:rPr>
      </w:pPr>
    </w:p>
    <w:p w14:paraId="2692D222" w14:textId="77777777" w:rsidR="00775EC9" w:rsidRPr="008B66EC" w:rsidRDefault="00775EC9" w:rsidP="00775EC9">
      <w:pPr>
        <w:spacing w:line="480" w:lineRule="auto"/>
        <w:rPr>
          <w:rFonts w:ascii="Times New Roman" w:hAnsi="Times New Roman" w:cs="Times New Roman"/>
          <w:b/>
          <w:bCs/>
          <w:sz w:val="24"/>
          <w:szCs w:val="24"/>
        </w:rPr>
      </w:pPr>
      <w:r w:rsidRPr="008B66EC">
        <w:rPr>
          <w:rFonts w:ascii="Times New Roman" w:hAnsi="Times New Roman" w:cs="Times New Roman"/>
          <w:b/>
          <w:bCs/>
          <w:sz w:val="24"/>
          <w:szCs w:val="24"/>
        </w:rPr>
        <w:t>Conclusion</w:t>
      </w:r>
    </w:p>
    <w:p w14:paraId="6994185F" w14:textId="77777777" w:rsidR="00775EC9" w:rsidRPr="008B66EC"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sz w:val="24"/>
          <w:szCs w:val="24"/>
        </w:rPr>
        <w:tab/>
        <w:t xml:space="preserve">Noting fundamental contrasts in how UK immigration control systems approached racialised postcolonial immigrants in the 1960s versus the 2010s, this article asked how the UK state’s image of the governance of the postcolonial immigrant subject shifted so profoundly that the Windrush Scandal became possible. It argues that British immigration governance underwent a shift – the </w:t>
      </w:r>
      <w:r w:rsidRPr="008B66EC">
        <w:rPr>
          <w:rFonts w:ascii="Times New Roman" w:hAnsi="Times New Roman" w:cs="Times New Roman"/>
          <w:i/>
          <w:iCs/>
          <w:sz w:val="24"/>
          <w:szCs w:val="24"/>
        </w:rPr>
        <w:t>individualisation</w:t>
      </w:r>
      <w:r w:rsidRPr="008B66EC">
        <w:rPr>
          <w:rFonts w:ascii="Times New Roman" w:hAnsi="Times New Roman" w:cs="Times New Roman"/>
          <w:sz w:val="24"/>
          <w:szCs w:val="24"/>
        </w:rPr>
        <w:t xml:space="preserve"> of postcolonial immigration control – which had wide-ranging consequences for UK immigration control generally, and particularly for Windrush victims. This shift ended 1960s attempts to govern postcolonial immigration through an aggregate model focused on reducing numerical volumes, which did not emphasise individual monitoring or necessitate limited after-entry rights, and regarded intensified individual scrutiny as not in the state’s interest. In its place, increased scrutiny of individual qualification and compliance became naturalised as a self-evident mechanism to pursue immigration policy goals. </w:t>
      </w:r>
    </w:p>
    <w:p w14:paraId="7177F34A"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This article identifies three lasting legacies of this shift in UK policymakers’ interpretive dispositions toward governing (postcolonial) immigration. First, this shift naturalised increased individual scrutiny as the logical policy intervention to respond to pressures to reduce immigrant numbers – making the “everyday bordering” logic of the </w:t>
      </w:r>
      <w:r w:rsidRPr="008B66EC">
        <w:rPr>
          <w:rFonts w:ascii="Times New Roman" w:hAnsi="Times New Roman" w:cs="Times New Roman"/>
          <w:sz w:val="24"/>
          <w:szCs w:val="24"/>
        </w:rPr>
        <w:lastRenderedPageBreak/>
        <w:t xml:space="preserve">“hostile environment”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{"citationID":"nUHYDsQ0","properties":{"formattedCitation":"(Yuval-Davis et al., 2018)","plainCitation":"(Yuval-Davis et al., 2018)","dontUpdate":true,"noteIndex":0},"citationItems":[{"id":4894,"uris":["http://zotero.org/users/1623609/items/Q9RPMXGW"],"uri":["http://zotero.org/users/1623609/items/Q9RPMXGW"],"itemData":{"id":4894,"type":"article-journal","abstract":"The article argues that everyday bordering has become a major technology of control of both social diversity and discourses on diversity, in a way that threatens the convivial co-existence of pluralist societies, especially in metropolitan cities, as well as reconstructs everyday citizenship. The article begins with an outline of a theoretical and methodological framework, which explores bordering, the politics of belonging and a situated intersectional perspective for the study of the everyday. It then analyses the shift in focus of recent UK immigration legislation from the external, territorial border to the internal border, incorporating technologies of everyday bordering in which ordinary citizens are demanded to become either border-guards and/or suspected illegitimate border crossers. We illustrate our argument in the area of employment examining the impact of the requirements of the immigration legislation from the situated gazes of professional border officers, employers and employees in their bordering encounters.","container-title":"Sociology","DOI":"10.1177/0038038517702599","ISSN":"0038-0385","issue":"2","journalAbbreviation":"Sociology","language":"en","page":"228-244","source":"SAGE Journals","title":"Everyday Bordering, Belonging and the Reorientation of British Immigration Legislation","volume":"52","author":[{"family":"Yuval-Davis","given":"Nira"},{"family":"Wemyss","given":"Georgie"},{"family":"Cassidy","given":"Kathryn"}],"issued":{"date-parts":[["2018",4,1]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(Yuval-Davis et al. 2018)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immanent. Second, where the Windrush victims had arrived under an aggregate model that did not emphasise individual documentation, individualised control naturalised higher expectations of it; undocumentedness became synonymous with illegality where it had not been before, opening the proximate vector by which Windrush victims were “illegalised”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{"citationID":"ixoLeSOr","properties":{"formattedCitation":"(Tuckett, 2019)","plainCitation":"(Tuckett, 2019)","dontUpdate":true,"noteIndex":0},"citationItems":[{"id":6922,"uris":["http://zotero.org/users/1623609/items/V7IRRWQV"],"uri":["http://zotero.org/users/1623609/items/V7IRRWQV"],"itemData":{"id":6922,"type":"article-journal","container-title":"Journal of Legal Anthropology","DOI":"10.3167/jla.2019.030208","ISSN":"1758-9584, 1758-9576","issue":"2","language":"en_US","note":"publisher: Berghahn Journals","page":"120-123","source":"www.berghahnjournals.com","title":"Managing paper trails after Windrush: Migration, documents and bureaucracy","title-short":"Managing paper trails after Windrush","volume":"3","author":[{"family":"Tuckett","given":"Anna"}],"issued":{"date-parts":[["2019",12,1]]}}}],"schema":"https://github.com/citation-style-language/schema/raw/master/csl-citation.json"}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(Tuckett 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Third, rising emphasis on immigrants’ individuality accorded with a declining focus on “race relations” and (perceived) group impacts in immigration control: systemic fairness became understood as embodied in scrupulous individualised decisions, and policy deliberations no longer prominently considered avoiding overly antagonising settled minority groups as a priority.</w:t>
      </w:r>
    </w:p>
    <w:p w14:paraId="21BD449D" w14:textId="24674260" w:rsidR="00775EC9" w:rsidRPr="008B66EC"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sz w:val="24"/>
          <w:szCs w:val="24"/>
        </w:rPr>
        <w:tab/>
        <w:t xml:space="preserve">This article contributes to examinations of how racism manifests differently amidst historical processes of individuation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{"citationID":"RNnEvrMO","properties":{"formattedCitation":"(Gilroy, 2012, p. 381)","plainCitation":"(Gilroy, 2012, p. 381)","dontUpdate":true,"noteIndex":0},"citationItems":[{"id":7233,"uris":["http://zotero.org/users/1623609/items/CQ8R5RZD"],"uri":["http://zotero.org/users/1623609/items/CQ8R5RZD"],"itemData":{"id":7233,"type":"article-journal","abstract":"This paper uses the 2011 viral video “My Tram Experience” as a prism through which to consider aspects of the contemporary politics of race and racism, immigration and misoxeny in Britain. The release and popularity of that clip is seen in the context of the second trial of the murders of Stephen Lawrence and in relation to technological changes and the emergence of virtual and immaterial racism on social media sites like Twitter and Facebook.","container-title":"Identities","DOI":"10.1080/1070289X.2012.725512","ISSN":"1070-289X","issue":"4","note":"publisher: Routledge\n_eprint: https://doi.org/10.1080/1070289X.2012.725512","page":"380-397","source":"Taylor and Francis+NEJM","title":"‘My Britain is fuck all’ zombie multiculturalism and the race politics of citizenship","volume":"19","author":[{"family":"Gilroy","given":"Paul"}],"issued":{"date-parts":[["2012",7,1]]}},"locator":"381"}],"schema":"https://github.com/citation-style-language/schema/raw/master/csl-citation.json"}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(Gilroy 2012, 381)</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and how state bordering practices which generate distinct racisms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{"citationID":"Sy7sZmXb","properties":{"formattedCitation":"(De Genova, 2002; de Noronha, 2019)","plainCitation":"(De Genova, 2002; de Noronha, 2019)","noteIndex":0},"citationItems":[{"id":6878,"uris":["http://zotero.org/users/1623609/items/5NW9A7ZB"],"uri":["http://zotero.org/users/1623609/items/5NW9A7ZB"],"itemData":{"id":6878,"type":"article-journal","abstract":"This article strives to meet two challenges. As a review, it provides a critical discussion of the scholarship concerning undocumented migration, with a special emphasis on ethnographically informed works that foreground significant aspects of the everyday life of undocumented migrants. But another key concern here is to formulate more precisely the theoretical status of migrant “illegality” and deportability in order that further research related to undocumented migration may be conceptualized more rigorously. This review considers the study of migrant “illegality” as an epistemological, methodological, and political problem, in order to then formulate it as a theoretical problem. The article argues that it is insufficient to examine the “illegality” of undocumented migration only in terms of its consequences and that it is necessary also to produce historically informed accounts of the sociopolitical processes of “illegalization” themselves, which can be characterized as the legal production of migrant “illegality.”","container-title":"Annual Review of Anthropology","DOI":"10.1146/annurev.anthro.31.040402.085432","issue":"1","note":"_eprint: https://doi.org/10.1146/annurev.anthro.31.040402.085432","page":"419-447","source":"Annual Reviews","title":"Migrant “Illegality” and Deportability in Everyday Life","volume":"31","author":[{"family":"De Genova","given":"Nicholas"}],"issued":{"date-parts":[["2002"]]}}},{"id":6863,"uris":["http://zotero.org/users/1623609/items/5GPLV59K"],"uri":["http://zotero.org/users/1623609/items/5GPLV59K"],"itemData":{"id":6863,"type":"article-journal","abstract":"In this paper, I examine the experiences of Jason and Ricardo, two men who were deported to Jamaica from the UK following criminal conviction. This ethnographic inquiry into deportation provides a rich and complex account of race-making at different scales. Theorizing the connections between racialization and illegalization offers a productive framework for the study of racism in multi-status Britain. The paper argues that the border is central to race’s contemporary mobilization, not only in the lives of individuals like Jason and Ricardo but also for those interpellated as “natives”.","container-title":"Ethnic and Racial Studies","DOI":"10.1080/01419870.2019.1585559","ISSN":"0141-9870","issue":"14","note":"publisher: Routledge\n_eprint: https://doi.org/10.1080/01419870.2019.1585559","page":"2413-2430","source":"Taylor and Francis+NEJM","title":"Deportation, racism and multi-status Britain: immigration control and the production of race in the present","title-short":"Deportation, racism and multi-status Britain","volume":"42","author":[{"family":"Noronha","given":"Luke","non-dropping-particle":"de"}],"issued":{"date-parts":[["2019",10,26]]}}}],"schema":"https://github.com/citation-style-language/schema/raw/master/csl-citation.json"}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(De Genova 2002; de Noronha 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have accordingly developed. In so doing, it contributes to understanding of the UK’s Windrush Scandal, augmenting analyses which have emphasised continuity in hostility toward racialised immigrants in the UK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{"citationID":"CXDfkaQt","properties":{"formattedCitation":"(El-Enany, 2020; Goodfellow, 2019)","plainCitation":"(El-Enany, 2020; Goodfellow, 2019)","dontUpdate":true,"noteIndex":0},"citationItems":[{"id":6254,"uris":["http://zotero.org/users/1623609/items/66K36YNG"],"uri":["http://zotero.org/users/1623609/items/66K36YNG"],"itemData":{"id":6254,"type":"book","event-place":"London","publisher":"Verso","publisher-place":"London","title":"Hostile Environment: How Immigrants Became Scapegoats","author":[{"family":"Goodfellow","given":"Maya"}],"issued":{"date-parts":[["2019"]]}}},{"id":7198,"uris":["http://zotero.org/users/1623609/items/YEEHAWCX"],"uri":["http://zotero.org/users/1623609/items/YEEHAWCX"],"itemData":{"id":7198,"type":"book","abstract":"(B)ordering Britain argues that Britain is the spoils of empire, its immigration law is colonial violence and irregular immigration is anti-colonial resistance. In announcing itself as postcolonial through immigration and nationality laws passed in the 60s, 70s and 80s, Britain cut itself off symbolically and physically from its colonies and the Commonwealth, taking with it what it had plundered. This imperial vanishing act cast Britain's colonial history into the shadows. The British Empire, about which Britons know little, can be remembered fondly as a moment of past glory, as a gift once given to the world. Meanwhile immigration laws are justified on the basis that they keep the undeserving hordes out. In fact, immigration laws are acts of colonial seizure and violence. They obstruct the vast majority of racialised people from accessing colonial wealth amassed in the course of colonial conquest. Regardless of what the law, media and political discourse dictate, people with personal, ancestral or geographical links to colonialism, or those existing under the weight of its legacy of race and racism, have every right to come to Britain and take back what is theirs.","ISBN":"978-1-5261-4544-4","language":"en","note":"Google-Books-ID: yXICEAAAQBAJ","number-of-pages":"311","publisher":"Manchester University Press","title":"(B)ordering Britain: Law, race and empire","title-short":"Bordering Britain","author":[{"family":"El-Enany","given":"Nadine"}],"issued":{"date-parts":[["2020",2,11]]}}}],"schema":"https://github.com/citation-style-language/schema/raw/master/csl-citation.json"}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(El-Enany 2020; Goodfellow 2019)</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with an account of why state practices toward them have differed so dramatically across time. Amid discussions of how “de-racialization in formal law” has “reshaped… immigrants’ rights”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{"citationID":"FvPm33Y1","properties":{"formattedCitation":"(Cook-Mart\\uc0\\u237{}n &amp; FitzGerald, 2015, p. 1320)","plainCitation":"(Cook-Martín &amp; FitzGerald, 2015, p. 1320)","dontUpdate":true,"noteIndex":0},"citationItems":[{"id":7149,"uris":["http://zotero.org/users/1623609/items/DDWV7WA8"],"uri":["http://zotero.org/users/1623609/items/DDWV7WA8"],"itemData":{"id":7149,"type":"article-journal","container-title":"Ethnic and Racial Studies","DOI":"10.1080/01419870.2015.1016076","ISSN":"0141-9870","issue":"8","note":"publisher: Routledge\n_eprint: https://doi.org/10.1080/01419870.2015.1016076","page":"1319-1327","source":"Taylor and Francis+NEJM","title":"Culling the Masses: A Rejoinder","title-short":"Culling the Masses","volume":"38","author":[{"family":"Cook-Martín","given":"David"},{"family":"FitzGerald","given":"David"}],"issued":{"date-parts":[["2015",6,21]]}},"locator":"1320"}],"schema":"https://github.com/citation-style-language/schema/raw/master/csl-citation.json"}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(Cook-Martín &amp; FitzGerald 2015, 1320)</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this analysis draws attention to how longer-run shifts in programmatic ideas guiding immigration </w:t>
      </w:r>
      <w:r w:rsidR="0005424E">
        <w:rPr>
          <w:rFonts w:ascii="Times New Roman" w:hAnsi="Times New Roman" w:cs="Times New Roman"/>
          <w:sz w:val="24"/>
          <w:szCs w:val="24"/>
        </w:rPr>
        <w:t>control</w:t>
      </w:r>
      <w:r w:rsidRPr="008B66EC">
        <w:rPr>
          <w:rFonts w:ascii="Times New Roman" w:hAnsi="Times New Roman" w:cs="Times New Roman"/>
          <w:sz w:val="24"/>
          <w:szCs w:val="24"/>
        </w:rPr>
        <w:t xml:space="preserve"> can create illegality and undermine the rights even of long-settled immigrants, without formal changes to their status. </w:t>
      </w:r>
    </w:p>
    <w:p w14:paraId="74FDEFB5"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As this article underlines, intensified scrutiny is not a neutral development for immigrants, simply providing more information to make a governing machinery more scrupulous. Intensified individual scrutiny makes practically contingent what may otherwise be formally secure. It goes hand-in-hand with a “categorical fetishism”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{"citationID":"OisnZnj8","properties":{"formattedCitation":"(Crawley &amp; Skleparis, 2018)","plainCitation":"(Crawley &amp; Skleparis, 2018)","dontUpdate":true,"noteIndex":0},"citationItems":[{"id":5714,"uris":["http://zotero.org/users/1623609/items/ZPBXLEH2"],"uri":["http://zotero.org/users/1623609/items/ZPBXLEH2"],"itemData":{"id":5714,"type":"article-journal","abstract":"The use of the categories ‘refugee’ and ‘migrant’ to differentiate between those on the move and the legitimacy, or otherwise, of their claims to international protection has featured strongly during Europe’s ‘migration crisis’ and has been used to justify policies of exclusion and containment. Drawing on interviews with 215 people who crossed the Mediterranean to Greece in 2015, our paper challenges this ‘categorical fetishism’, arguing that the dominant categories fail to capture adequately the complex relationship between political, social and economic drivers of migration or their shifting significance for individuals over time and space. As such it builds upon a substantial body of academic literature demonstrating a disjuncture between conceptual and policy categories and the lived experiences of those on the move. However, the paper is also critical of efforts to foreground or privilege ‘refugees’ over ‘migrants’ arguing that this reinforces rather than challenges the dichotomy’s faulty foundations. Rather those concerned about the use of categories to marginalise and exclude should explicitly engage with the politics of bounding, that is to say, the process by which categories are constructed, the purpose they serve and their consequences, in order to denaturalise their use as a mechanism to distinguish, divide and discriminate.","container-title":"Journal of Ethnic and Migration Studies","DOI":"10.1080/1369183X.2017.1348224","ISSN":"1369-183X","issue":"1","page":"48-64","source":"Taylor and Francis+NEJM","title":"Refugees, migrants, neither, both: categorical fetishism and the politics of bounding in Europe’s ‘migration crisis’","title-short":"Refugees, migrants, neither, both","volume":"44","author":[{"family":"Crawley","given":"Heaven"},{"family":"Skleparis","given":"Dimitris"}],"issued":{"date-parts":[["2018",1,2]]}}}],"schema":"https://github.com/citation-style-language/schema/raw/master/csl-citation.json"}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 xml:space="preserve">(Crawley &amp; Skleparis </w:t>
      </w:r>
      <w:r w:rsidRPr="008B66EC">
        <w:rPr>
          <w:rFonts w:ascii="Times New Roman" w:hAnsi="Times New Roman" w:cs="Times New Roman"/>
          <w:sz w:val="24"/>
        </w:rPr>
        <w:lastRenderedPageBreak/>
        <w:t>2018)</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which advances an image of fairness that accords with administrative imperatives to adopt procedures widely seen as legitimate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{"citationID":"gCMPheh7","properties":{"formattedCitation":"(Boswell, 2007, p. 91)","plainCitation":"(Boswell, 2007, p. 91)","dontUpdate":true,"noteIndex":0},"citationItems":[{"id":271,"uris":["http://zotero.org/users/1623609/items/95U8SIK9"],"uri":["http://zotero.org/users/1623609/items/95U8SIK9"],"itemData":{"id":271,"type":"article-journal","container-title":"International Migration Review","DOI":"10.1111/j.1747-7379.2007.00057.x","ISSN":"0197-9183, 1747-7379","issue":"1","page":"75-100","source":"CrossRef","title":"Theorizing Migration Policy: Is There a Third Way?","title-short":"Theorizing Migration Policy","volume":"41","author":[{"family":"Boswell","given":"Christina"}],"issued":{"date-parts":[["2007",3]]}},"locator":"91"}],"schema":"https://github.com/citation-style-language/schema/raw/master/csl-citation.json"}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(Boswell 2007, 91)</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but risks sidelining equity and justice. More bureaucratic activity also makes inevitable more bureaucratic mistakes, which administrations may have limited impetus to rectify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{"citationID":"fygJ8dHw","properties":{"formattedCitation":"(Oliver, 2020)","plainCitation":"(Oliver, 2020)","dontUpdate":true,"noteIndex":0},"citationItems":[{"id":7222,"uris":["http://zotero.org/users/1623609/items/L8U42NLS"],"uri":["http://zotero.org/users/1623609/items/L8U42NLS"],"itemData":{"id":7222,"type":"article-journal","abstract":"Governments’ attempts to manage immigration increasingly restrict immigrants’ eligibility to healthcare, education, and welfare benefits. This article examines the operation of these restrictions in the United Kingdom. It draws on qualitative research with civil servants and NGO expert advisors, and applies sociological theories on bureaucracy as a lens to interpret these data. Conceptually, the paper employs a generative synthesis of Ritzer’s notion of “irrational rationality” and Foucault’s perspective on “governmentality” to explain observed outcomes. Findings show that public service workers struggle with complex and opaque regulations, which grant different entitlements to different categories of migrants. The confusion results in mistakes, arbitrary decisions, and hypercorrection, but also a system-wide indifference to irrational outcomes, supported by human factors in contexts of austerity. I consider this a form of governmentality-effected neglect, where power operates as much through inaction as well as through intention, but which results in exclusions of legal migrants that are harsher in practice than in law.","container-title":"The British Journal of Sociology","DOI":"https://doi.org/10.1111/1468-4446.12720","ISSN":"1468-4446","issue":"1","language":"en","note":"_eprint: https://onlinelibrary.wiley.com/doi/pdf/10.1111/1468-4446.12720","page":"96-111","source":"Wiley Online Library","title":"Irrational rationalities and governmentality-effected neglect in immigration practice: Legal migrants’ entitlements to services and benefits in the United Kingdom","title-short":"Irrational rationalities and governmentality-effected neglect in immigration practice","volume":"71","author":[{"family":"Oliver","given":"Caroline"}],"issued":{"date-parts":[["2020"]]}}}],"schema":"https://github.com/citation-style-language/schema/raw/master/csl-citation.json"}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(Oliver 2020)</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Where UK policymakers in the 1960s had been aware of irrationalities in zealous individual scrutiny, the shift that followed generated blind spots where the Windrush Scandal emerged.</w:t>
      </w:r>
    </w:p>
    <w:p w14:paraId="4CE1E731" w14:textId="77777777" w:rsidR="00775EC9" w:rsidRPr="008B66EC" w:rsidRDefault="00775EC9" w:rsidP="00775EC9">
      <w:pPr>
        <w:spacing w:line="480" w:lineRule="auto"/>
        <w:ind w:firstLine="720"/>
        <w:rPr>
          <w:rFonts w:ascii="Times New Roman" w:hAnsi="Times New Roman"/>
          <w:sz w:val="24"/>
          <w:szCs w:val="24"/>
        </w:rPr>
      </w:pPr>
      <w:r w:rsidRPr="008B66EC">
        <w:rPr>
          <w:rFonts w:ascii="Times New Roman" w:hAnsi="Times New Roman" w:cs="Times New Roman"/>
          <w:sz w:val="24"/>
          <w:szCs w:val="24"/>
        </w:rPr>
        <w:t xml:space="preserve">Through its detailed UK case study, this article contributes to discussions of how the shift away from consciously racial policymaking and toward individualised judgments in majority-white countries’ migration policies has altered how these systems may entrench social inequalities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{"citationID":"D09cLzH5","properties":{"formattedCitation":"(Elrick, 2020)","plainCitation":"(Elrick, 2020)","dontUpdate":true,"noteIndex":0},"citationItems":[{"id":7144,"uris":["http://zotero.org/users/1623609/items/F4QYMIAQ"],"uri":["http://zotero.org/users/1623609/items/F4QYMIAQ"],"itemData":{"id":7144,"type":"article-journal","abstract":"This article extends theories of how, in the mid-twentieth century, ‘merit-based’ immigration policies, which select immigrants based on individual human capital and social ties, replaced explicitly racist immigration policies that selected on national and racial group origins. It does so in reference to the historical Canadian case, where existing scholarship emphasises the role of macro and meso-level economic, cultural, and political factors in driving immigration policy change. Using a qualitative content analysis of unique archival data on admissions and deportation appeals, the article identifies high-level bureaucrats’ implementation practices as a micro-level mechanism of postwar immigration policy change. This mechanism allowed for low-risk policy experimentation and subsequently paved the way for a more systemic policy shift. The analysis also shows that individual-level assessments of traits like ‘merit’ were not designed to be ‘race free’ but emerged as a way of managing race, at the intersection of class and status. This gave the formal merit-based policy that later emerged a decidedly middle-class inflection. While focused on the historical Canadian case, the findings presented are relevant to broader debates about the role of immigration bureaucrats in policymaking and how race shapes nation-building under merit-based immigration policies.","container-title":"Journal of Ethnic and Migration Studies","DOI":"10.1080/1369183X.2020.1817731","ISSN":"1369-183X","issue":"0","note":"publisher: Routledge\n_eprint: https://doi.org/10.1080/1369183X.2020.1817731","page":"1-19","source":"Taylor and Francis+NEJM","title":"Bureaucratic implementation practices and the making of Canada’s merit-based immigration policy","volume":"0","author":[{"family":"Elrick","given":"Jennifer"}],"issued":{"date-parts":[["2020",9,16]]}}}],"schema":"https://github.com/citation-style-language/schema/raw/master/csl-citation.json"}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(Elrick 2020)</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Single-case studies like this one are not generalisable, but they often suggest possibilities meriting further research. This study outlines particular consequences growing from the UK’s attempt to scrutinise and monitor immigrants from a position where the British state historically had lacked such population-monitoring capabilities </w:t>
      </w: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ZOTERO_ITEM CSL_CITATION {"citationID":"vehoBPsH","properties":{"formattedCitation":"(Boswell &amp; Badenhoop, 2021)","plainCitation":"(Boswell &amp; Badenhoop, 2021)","dontUpdate":true,"noteIndex":0},"citationItems":[{"id":7536,"uris":["http://zotero.org/users/1623609/items/TPURLTN4"],"uri":["http://zotero.org/users/1623609/items/TPURLTN4"],"itemData":{"id":7536,"type":"article-journal","abstract":"While there is extensive literature on states and knowledge, there has been little focus on state ignorance: instances where states are identified as lacking knowledge relevant to addressing social problems. We present the first systematic analysis of how states perceive and respond to ignorance, developing a typology of responses (denial, resignation, and elucidation). We test and refine the typology through analyzing state ignorance of unauthorized migration in Germany and the UK, 1990–2006. Public authorities in both countries responded to ignorance through both denial and resignation. However, variations in control infrastructures and bureaucratic cultures meant that “resignation” took distinct forms. In the UK, pragmatism about the limitations of state capacity implied that officials were sanguine about their “ignorance,” with pressure emanating from external political scrutiny. In Germany, by contrast, officials faced an acute conflict between bureaucratic and legal norms of the rule of law, and constraints to enforcement. Both cases reveal profound state ambivalence about elucidating social problems over which they have limited control.","container-title":"Governance","DOI":"https://doi.org/10.1111/gove.12499","ISSN":"1468-0491","issue":"2","language":"en","note":"_eprint: https://onlinelibrary.wiley.com/doi/pdf/10.1111/gove.12499","page":"335-352","source":"Wiley Online Library","title":"“What isn't in the files, isn't in the world”: Understanding state ignorance of irregular migration in Germany and the United Kingdom","title-short":"“What isn't in the files, isn't in the world”","volume":"34","author":[{"family":"Boswell","given":"Christina"},{"family":"Badenhoop","given":"Elisabeth"}],"issued":{"date-parts":[["2021"]]}}}],"schema":"https://github.com/citation-style-language/schema/raw/master/csl-citation.json"}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rPr>
        <w:t>(Boswell &amp; Badenhoop 2021)</w:t>
      </w:r>
      <w:r w:rsidRPr="008B66EC">
        <w:rPr>
          <w:rFonts w:ascii="Times New Roman" w:hAnsi="Times New Roman" w:cs="Times New Roman"/>
          <w:sz w:val="24"/>
          <w:szCs w:val="24"/>
        </w:rPr>
        <w:fldChar w:fldCharType="end"/>
      </w:r>
      <w:r w:rsidRPr="008B66EC">
        <w:rPr>
          <w:rFonts w:ascii="Times New Roman" w:hAnsi="Times New Roman" w:cs="Times New Roman"/>
          <w:sz w:val="24"/>
          <w:szCs w:val="24"/>
        </w:rPr>
        <w:t xml:space="preserve">. Further research might investigate whether such consequences also occur in states with administrative histories and common-law frameworks like Britain’s. The shift in the UK state’s image of postcolonial migrant subjects – </w:t>
      </w:r>
      <w:r w:rsidRPr="008B66EC">
        <w:rPr>
          <w:rFonts w:ascii="Times New Roman" w:hAnsi="Times New Roman"/>
          <w:sz w:val="24"/>
          <w:szCs w:val="24"/>
        </w:rPr>
        <w:t>from a mass of people with distinct imperial connections, to be governed at population level, for whom individual monitoring did not accord with state objectives; to a collective of individuals with attenuated rights, and subject to extended scrutiny – suggests particular ways immigration control logics have shifted as empire has receded. Investigations of immigration bureaucracies in other former imperial powers may shed light on whether this is commonplace in the immigration-control trajectories of ex-coloniser states.</w:t>
      </w:r>
    </w:p>
    <w:p w14:paraId="116F2722" w14:textId="77777777" w:rsidR="00775EC9" w:rsidRPr="008B66EC" w:rsidRDefault="00775EC9" w:rsidP="00775EC9">
      <w:pPr>
        <w:spacing w:line="480" w:lineRule="auto"/>
        <w:ind w:firstLine="720"/>
        <w:rPr>
          <w:rFonts w:ascii="Times New Roman" w:hAnsi="Times New Roman" w:cs="Times New Roman"/>
          <w:sz w:val="24"/>
          <w:szCs w:val="24"/>
        </w:rPr>
      </w:pPr>
      <w:r w:rsidRPr="008B66EC">
        <w:rPr>
          <w:rFonts w:ascii="Times New Roman" w:hAnsi="Times New Roman" w:cs="Times New Roman"/>
          <w:sz w:val="24"/>
          <w:szCs w:val="24"/>
        </w:rPr>
        <w:t xml:space="preserve">What needs no further evidence, however, is how these seemingly abstract and long-developing changes had dire effects on thousands of people who had long called Britain home. Judy Griffith did not suffer the grimmest formal consequences faced by some </w:t>
      </w:r>
      <w:r w:rsidRPr="008B66EC">
        <w:rPr>
          <w:rFonts w:ascii="Times New Roman" w:hAnsi="Times New Roman" w:cs="Times New Roman"/>
          <w:sz w:val="24"/>
          <w:szCs w:val="24"/>
        </w:rPr>
        <w:lastRenderedPageBreak/>
        <w:t>Windrush victims, since she was able eventually to prove her status. But, beyond its material harm, “</w:t>
      </w:r>
      <w:r w:rsidRPr="008B66EC">
        <w:rPr>
          <w:rFonts w:ascii="Times New Roman" w:hAnsi="Times New Roman" w:cs="Arial"/>
          <w:sz w:val="24"/>
          <w:szCs w:val="21"/>
          <w:shd w:val="clear" w:color="auto" w:fill="FFFFFF"/>
        </w:rPr>
        <w:t>The thing that was so hard for me to get my head around is the sense of loss that came with it.… I can never feel a part of this country anymore,”</w:t>
      </w:r>
      <w:r w:rsidRPr="008B66EC">
        <w:rPr>
          <w:rFonts w:ascii="Times New Roman" w:hAnsi="Times New Roman" w:cs="Times New Roman"/>
          <w:sz w:val="24"/>
          <w:szCs w:val="24"/>
        </w:rPr>
        <w:t xml:space="preserve"> she recounted in her British Library interview. In the end, the Home Office, which had given her no more than a stamp in a shared passport when she came to settle legally in Britain, provided Griffith a certificate affirming that she held the status of British citizen – as of 2018. “</w:t>
      </w:r>
      <w:r w:rsidRPr="008B66EC">
        <w:rPr>
          <w:rFonts w:ascii="Times New Roman" w:hAnsi="Times New Roman" w:cs="Arial"/>
          <w:sz w:val="24"/>
          <w:szCs w:val="21"/>
          <w:shd w:val="clear" w:color="auto" w:fill="FFFFFF"/>
        </w:rPr>
        <w:t xml:space="preserve">What’s happened to all the other years?” she wondered </w:t>
      </w:r>
      <w:r w:rsidRPr="008B66EC">
        <w:rPr>
          <w:rFonts w:ascii="Times New Roman" w:hAnsi="Times New Roman" w:cs="Arial"/>
          <w:sz w:val="24"/>
          <w:szCs w:val="21"/>
          <w:shd w:val="clear" w:color="auto" w:fill="FFFFFF"/>
        </w:rPr>
        <w:fldChar w:fldCharType="begin"/>
      </w:r>
      <w:r w:rsidRPr="008B66EC">
        <w:rPr>
          <w:rFonts w:ascii="Times New Roman" w:hAnsi="Times New Roman" w:cs="Arial"/>
          <w:sz w:val="24"/>
          <w:szCs w:val="21"/>
          <w:shd w:val="clear" w:color="auto" w:fill="FFFFFF"/>
        </w:rPr>
        <w:instrText xml:space="preserve"> ADDIN ZOTERO_ITEM CSL_CITATION {"citationID":"WkOE7yRv","properties":{"formattedCitation":"(Griffith, 2018)","plainCitation":"(Griffith, 2018)","dontUpdate":true,"noteIndex":0},"citationItems":[{"id":7047,"uris":["http://zotero.org/users/1623609/items/UY55AC3P"],"uri":["http://zotero.org/users/1623609/items/UY55AC3P"],"itemData":{"id":7047,"type":"webpage","abstract":"In July 2018 the British Library interviewed Judy Griffith, who came to Britain as a child in 1963 from Barbados. She is one of many of the Windrush generation who have had their status as British citizens questioned, despite having indefinite leave to remain as a Commonwealth citizen.","container-title":"The British Library","language":"eng","note":"publisher: The British Library","title":"Perspectives on the Windrush generation scandal: an interview with Judy Griffith","title-short":"Perspectives on the Windrush generation scandal","URL":"https://www.bl.uk/windrush/articles/perspectives-on-the-windrush-generation-scandal-an-interview-with-judy-griffith","author":[{"family":"Griffith","given":"Judy"}],"accessed":{"date-parts":[["2020",9,15]]},"issued":{"date-parts":[["2018",10,4]]}}}],"schema":"https://github.com/citation-style-language/schema/raw/master/csl-citation.json"} </w:instrText>
      </w:r>
      <w:r w:rsidRPr="008B66EC">
        <w:rPr>
          <w:rFonts w:ascii="Times New Roman" w:hAnsi="Times New Roman" w:cs="Arial"/>
          <w:sz w:val="24"/>
          <w:szCs w:val="21"/>
          <w:shd w:val="clear" w:color="auto" w:fill="FFFFFF"/>
        </w:rPr>
        <w:fldChar w:fldCharType="separate"/>
      </w:r>
      <w:r w:rsidRPr="008B66EC">
        <w:rPr>
          <w:rFonts w:ascii="Times New Roman" w:hAnsi="Times New Roman" w:cs="Times New Roman"/>
          <w:sz w:val="24"/>
        </w:rPr>
        <w:t>(Griffith 2018)</w:t>
      </w:r>
      <w:r w:rsidRPr="008B66EC">
        <w:rPr>
          <w:rFonts w:ascii="Times New Roman" w:hAnsi="Times New Roman" w:cs="Arial"/>
          <w:sz w:val="24"/>
          <w:szCs w:val="21"/>
          <w:shd w:val="clear" w:color="auto" w:fill="FFFFFF"/>
        </w:rPr>
        <w:fldChar w:fldCharType="end"/>
      </w:r>
      <w:r w:rsidRPr="008B66EC">
        <w:rPr>
          <w:rFonts w:ascii="Times New Roman" w:hAnsi="Times New Roman" w:cs="Arial"/>
          <w:sz w:val="24"/>
          <w:szCs w:val="21"/>
          <w:shd w:val="clear" w:color="auto" w:fill="FFFFFF"/>
        </w:rPr>
        <w:t>. “Where have they gone?”</w:t>
      </w:r>
    </w:p>
    <w:p w14:paraId="703CFF24" w14:textId="77777777" w:rsidR="00775EC9" w:rsidRPr="008B66EC" w:rsidRDefault="00775EC9" w:rsidP="00775EC9">
      <w:pPr>
        <w:spacing w:line="480" w:lineRule="auto"/>
        <w:rPr>
          <w:rFonts w:ascii="Times New Roman" w:hAnsi="Times New Roman" w:cs="Times New Roman"/>
          <w:sz w:val="24"/>
          <w:szCs w:val="24"/>
        </w:rPr>
      </w:pPr>
    </w:p>
    <w:p w14:paraId="6F150654" w14:textId="77777777" w:rsidR="00775EC9" w:rsidRPr="008B66EC" w:rsidRDefault="00775EC9" w:rsidP="00775EC9">
      <w:pPr>
        <w:pStyle w:val="Bibliography"/>
        <w:rPr>
          <w:rFonts w:ascii="Times New Roman" w:hAnsi="Times New Roman" w:cs="Times New Roman"/>
          <w:b/>
          <w:bCs/>
          <w:sz w:val="24"/>
          <w:szCs w:val="24"/>
        </w:rPr>
      </w:pPr>
      <w:r w:rsidRPr="008B66EC">
        <w:rPr>
          <w:rFonts w:ascii="Times New Roman" w:hAnsi="Times New Roman" w:cs="Times New Roman"/>
          <w:b/>
          <w:bCs/>
          <w:sz w:val="24"/>
          <w:szCs w:val="24"/>
        </w:rPr>
        <w:t>References</w:t>
      </w:r>
    </w:p>
    <w:p w14:paraId="14A0C745" w14:textId="77777777" w:rsidR="00775EC9" w:rsidRPr="008B66EC" w:rsidRDefault="00775EC9" w:rsidP="00775EC9">
      <w:pPr>
        <w:rPr>
          <w:rFonts w:ascii="Times New Roman" w:hAnsi="Times New Roman" w:cs="Times New Roman"/>
          <w:sz w:val="24"/>
          <w:szCs w:val="24"/>
        </w:rPr>
      </w:pPr>
    </w:p>
    <w:p w14:paraId="77095431"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fldChar w:fldCharType="begin"/>
      </w:r>
      <w:r w:rsidRPr="008B66EC">
        <w:rPr>
          <w:rFonts w:ascii="Times New Roman" w:hAnsi="Times New Roman" w:cs="Times New Roman"/>
          <w:sz w:val="24"/>
          <w:szCs w:val="24"/>
        </w:rPr>
        <w:instrText xml:space="preserve"> ADDIN ZOTERO_BIBL {"uncited":[],"omitted":[],"custom":[]} CSL_BIBLIOGRAPHY </w:instrText>
      </w:r>
      <w:r w:rsidRPr="008B66EC">
        <w:rPr>
          <w:rFonts w:ascii="Times New Roman" w:hAnsi="Times New Roman" w:cs="Times New Roman"/>
          <w:sz w:val="24"/>
          <w:szCs w:val="24"/>
        </w:rPr>
        <w:fldChar w:fldCharType="separate"/>
      </w:r>
      <w:r w:rsidRPr="008B66EC">
        <w:rPr>
          <w:rFonts w:ascii="Times New Roman" w:hAnsi="Times New Roman" w:cs="Times New Roman"/>
          <w:sz w:val="24"/>
          <w:szCs w:val="24"/>
        </w:rPr>
        <w:t xml:space="preserve">Bailkin, J. (2008). Leaving Home: The Politics of Deportation in Postwar Britain. </w:t>
      </w:r>
      <w:r w:rsidRPr="008B66EC">
        <w:rPr>
          <w:rFonts w:ascii="Times New Roman" w:hAnsi="Times New Roman" w:cs="Times New Roman"/>
          <w:i/>
          <w:iCs/>
          <w:sz w:val="24"/>
          <w:szCs w:val="24"/>
        </w:rPr>
        <w:t>Journal of British Studies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47</w:t>
      </w:r>
      <w:r w:rsidRPr="008B66EC">
        <w:rPr>
          <w:rFonts w:ascii="Times New Roman" w:hAnsi="Times New Roman" w:cs="Times New Roman"/>
          <w:sz w:val="24"/>
          <w:szCs w:val="24"/>
        </w:rPr>
        <w:t>(4), 852–882.</w:t>
      </w:r>
    </w:p>
    <w:p w14:paraId="3BEFC97F"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Bloom, T. (2019). When Migration Policy Isn’t about Migration: Considerations for Implementation of the Global Compact for Migration. </w:t>
      </w:r>
      <w:r w:rsidRPr="008B66EC">
        <w:rPr>
          <w:rFonts w:ascii="Times New Roman" w:hAnsi="Times New Roman" w:cs="Times New Roman"/>
          <w:i/>
          <w:iCs/>
          <w:sz w:val="24"/>
          <w:szCs w:val="24"/>
        </w:rPr>
        <w:t>Ethics &amp; International Affairs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33</w:t>
      </w:r>
      <w:r w:rsidRPr="008B66EC">
        <w:rPr>
          <w:rFonts w:ascii="Times New Roman" w:hAnsi="Times New Roman" w:cs="Times New Roman"/>
          <w:sz w:val="24"/>
          <w:szCs w:val="24"/>
        </w:rPr>
        <w:t xml:space="preserve">(4), 481–497. </w:t>
      </w:r>
    </w:p>
    <w:p w14:paraId="7911E3FA"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Boswell, C. (2007). Theorizing Migration Policy: Is There a Third Way? </w:t>
      </w:r>
      <w:r w:rsidRPr="008B66EC">
        <w:rPr>
          <w:rFonts w:ascii="Times New Roman" w:hAnsi="Times New Roman" w:cs="Times New Roman"/>
          <w:i/>
          <w:iCs/>
          <w:sz w:val="24"/>
          <w:szCs w:val="24"/>
        </w:rPr>
        <w:t>International Migration Review</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41</w:t>
      </w:r>
      <w:r w:rsidRPr="008B66EC">
        <w:rPr>
          <w:rFonts w:ascii="Times New Roman" w:hAnsi="Times New Roman" w:cs="Times New Roman"/>
          <w:sz w:val="24"/>
          <w:szCs w:val="24"/>
        </w:rPr>
        <w:t>(1), 75–100.</w:t>
      </w:r>
    </w:p>
    <w:p w14:paraId="3E63DBAA"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Boswell, C., &amp; Badenhoop, E. (2021). “What isn’t in the files, isn’t in the world”: Understanding state ignorance of irregular migration in Germany and the United Kingdom. </w:t>
      </w:r>
      <w:r w:rsidRPr="008B66EC">
        <w:rPr>
          <w:rFonts w:ascii="Times New Roman" w:hAnsi="Times New Roman" w:cs="Times New Roman"/>
          <w:i/>
          <w:iCs/>
          <w:sz w:val="24"/>
          <w:szCs w:val="24"/>
        </w:rPr>
        <w:t>Governance</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34</w:t>
      </w:r>
      <w:r w:rsidRPr="008B66EC">
        <w:rPr>
          <w:rFonts w:ascii="Times New Roman" w:hAnsi="Times New Roman" w:cs="Times New Roman"/>
          <w:sz w:val="24"/>
          <w:szCs w:val="24"/>
        </w:rPr>
        <w:t xml:space="preserve">(2), 335–352. </w:t>
      </w:r>
    </w:p>
    <w:p w14:paraId="17EEEDB0"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Conservative Party. (1968). </w:t>
      </w:r>
      <w:r w:rsidRPr="008B66EC">
        <w:rPr>
          <w:rFonts w:ascii="Times New Roman" w:hAnsi="Times New Roman" w:cs="Times New Roman"/>
          <w:i/>
          <w:iCs/>
          <w:sz w:val="24"/>
          <w:szCs w:val="24"/>
        </w:rPr>
        <w:t>Make Life Better</w:t>
      </w:r>
      <w:r w:rsidRPr="008B66EC">
        <w:rPr>
          <w:rFonts w:ascii="Times New Roman" w:hAnsi="Times New Roman" w:cs="Times New Roman"/>
          <w:sz w:val="24"/>
          <w:szCs w:val="24"/>
        </w:rPr>
        <w:t>.</w:t>
      </w:r>
    </w:p>
    <w:p w14:paraId="4421461D"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Consterdine, E. (2020). Parties matter but institutions live on: Labour’s legacy on Conservative immigration policy and the neoliberal consensus. </w:t>
      </w:r>
      <w:r w:rsidRPr="008B66EC">
        <w:rPr>
          <w:rFonts w:ascii="Times New Roman" w:hAnsi="Times New Roman" w:cs="Times New Roman"/>
          <w:i/>
          <w:iCs/>
          <w:sz w:val="24"/>
          <w:szCs w:val="24"/>
        </w:rPr>
        <w:t>The British Journal of Politics and International Relations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22</w:t>
      </w:r>
      <w:r w:rsidRPr="008B66EC">
        <w:rPr>
          <w:rFonts w:ascii="Times New Roman" w:hAnsi="Times New Roman" w:cs="Times New Roman"/>
          <w:sz w:val="24"/>
          <w:szCs w:val="24"/>
        </w:rPr>
        <w:t xml:space="preserve">(2), 182–201. </w:t>
      </w:r>
    </w:p>
    <w:p w14:paraId="4B8BA3D2"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lastRenderedPageBreak/>
        <w:t xml:space="preserve">Cook-Martín, D., &amp; FitzGerald, D. (2015). Culling the Masses: A Rejoinder. </w:t>
      </w:r>
      <w:r w:rsidRPr="008B66EC">
        <w:rPr>
          <w:rFonts w:ascii="Times New Roman" w:hAnsi="Times New Roman" w:cs="Times New Roman"/>
          <w:i/>
          <w:iCs/>
          <w:sz w:val="24"/>
          <w:szCs w:val="24"/>
        </w:rPr>
        <w:t>Ethnic and Racial Studies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38</w:t>
      </w:r>
      <w:r w:rsidRPr="008B66EC">
        <w:rPr>
          <w:rFonts w:ascii="Times New Roman" w:hAnsi="Times New Roman" w:cs="Times New Roman"/>
          <w:sz w:val="24"/>
          <w:szCs w:val="24"/>
        </w:rPr>
        <w:t xml:space="preserve">(8), 1319–1327. </w:t>
      </w:r>
    </w:p>
    <w:p w14:paraId="47188E99"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Crawley, H., &amp; Skleparis, D. (2018). Refugees, migrants, neither, both: Categorical fetishism and the politics of bounding in Europe’s ‘migration crisis.’ </w:t>
      </w:r>
      <w:r w:rsidRPr="008B66EC">
        <w:rPr>
          <w:rFonts w:ascii="Times New Roman" w:hAnsi="Times New Roman" w:cs="Times New Roman"/>
          <w:i/>
          <w:iCs/>
          <w:sz w:val="24"/>
          <w:szCs w:val="24"/>
        </w:rPr>
        <w:t>Journal of Ethnic and Migration Studies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44</w:t>
      </w:r>
      <w:r w:rsidRPr="008B66EC">
        <w:rPr>
          <w:rFonts w:ascii="Times New Roman" w:hAnsi="Times New Roman" w:cs="Times New Roman"/>
          <w:sz w:val="24"/>
          <w:szCs w:val="24"/>
        </w:rPr>
        <w:t xml:space="preserve">(1), 48–64. </w:t>
      </w:r>
    </w:p>
    <w:p w14:paraId="14235F39"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De Genova, N. (2002). Migrant “Illegality” and Deportability in Everyday Life. </w:t>
      </w:r>
      <w:r w:rsidRPr="008B66EC">
        <w:rPr>
          <w:rFonts w:ascii="Times New Roman" w:hAnsi="Times New Roman" w:cs="Times New Roman"/>
          <w:i/>
          <w:iCs/>
          <w:sz w:val="24"/>
          <w:szCs w:val="24"/>
        </w:rPr>
        <w:t>Annual Review of Anthropology</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31</w:t>
      </w:r>
      <w:r w:rsidRPr="008B66EC">
        <w:rPr>
          <w:rFonts w:ascii="Times New Roman" w:hAnsi="Times New Roman" w:cs="Times New Roman"/>
          <w:sz w:val="24"/>
          <w:szCs w:val="24"/>
        </w:rPr>
        <w:t xml:space="preserve">(1), 419–447. </w:t>
      </w:r>
    </w:p>
    <w:p w14:paraId="2C08C6CE"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de Noronha, L. (2019). Deportation, racism and multi-status Britain: Immigration control and the production of race in the present. </w:t>
      </w:r>
      <w:r w:rsidRPr="008B66EC">
        <w:rPr>
          <w:rFonts w:ascii="Times New Roman" w:hAnsi="Times New Roman" w:cs="Times New Roman"/>
          <w:i/>
          <w:iCs/>
          <w:sz w:val="24"/>
          <w:szCs w:val="24"/>
        </w:rPr>
        <w:t>Ethnic and Racial Studies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42</w:t>
      </w:r>
      <w:r w:rsidRPr="008B66EC">
        <w:rPr>
          <w:rFonts w:ascii="Times New Roman" w:hAnsi="Times New Roman" w:cs="Times New Roman"/>
          <w:sz w:val="24"/>
          <w:szCs w:val="24"/>
        </w:rPr>
        <w:t xml:space="preserve">(14), 2413–2430. </w:t>
      </w:r>
    </w:p>
    <w:p w14:paraId="67BF900B"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Doty, R. L. (1993). Foreign Policy as Social Construction: A Post-Positivist Analysis of U.S. Counterinsurgency Policy in the Philippines. </w:t>
      </w:r>
      <w:r w:rsidRPr="008B66EC">
        <w:rPr>
          <w:rFonts w:ascii="Times New Roman" w:hAnsi="Times New Roman" w:cs="Times New Roman"/>
          <w:i/>
          <w:iCs/>
          <w:sz w:val="24"/>
          <w:szCs w:val="24"/>
        </w:rPr>
        <w:t>International Studies Quarterly</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37</w:t>
      </w:r>
      <w:r w:rsidRPr="008B66EC">
        <w:rPr>
          <w:rFonts w:ascii="Times New Roman" w:hAnsi="Times New Roman" w:cs="Times New Roman"/>
          <w:sz w:val="24"/>
          <w:szCs w:val="24"/>
        </w:rPr>
        <w:t xml:space="preserve">(3), 297–320. </w:t>
      </w:r>
    </w:p>
    <w:p w14:paraId="3B05F394"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El-Enany, N. (2020). </w:t>
      </w:r>
      <w:r w:rsidRPr="008B66EC">
        <w:rPr>
          <w:rFonts w:ascii="Times New Roman" w:hAnsi="Times New Roman" w:cs="Times New Roman"/>
          <w:i/>
          <w:iCs/>
          <w:sz w:val="24"/>
          <w:szCs w:val="24"/>
        </w:rPr>
        <w:t>(B)ordering Britain: Law, race and empire</w:t>
      </w:r>
      <w:r w:rsidRPr="008B66EC">
        <w:rPr>
          <w:rFonts w:ascii="Times New Roman" w:hAnsi="Times New Roman" w:cs="Times New Roman"/>
          <w:sz w:val="24"/>
          <w:szCs w:val="24"/>
        </w:rPr>
        <w:t>. Manchester University Press.</w:t>
      </w:r>
    </w:p>
    <w:p w14:paraId="6E5E38B9"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Elrick, J. (2020). Bureaucratic implementation practices and the making of Canada’s merit-based immigration policy. </w:t>
      </w:r>
      <w:r w:rsidRPr="008B66EC">
        <w:rPr>
          <w:rFonts w:ascii="Times New Roman" w:hAnsi="Times New Roman" w:cs="Times New Roman"/>
          <w:i/>
          <w:iCs/>
          <w:sz w:val="24"/>
          <w:szCs w:val="24"/>
        </w:rPr>
        <w:t>Journal of Ethnic and Migration Studies</w:t>
      </w:r>
      <w:r w:rsidRPr="008B66EC">
        <w:rPr>
          <w:rFonts w:ascii="Times New Roman" w:hAnsi="Times New Roman" w:cs="Times New Roman"/>
          <w:sz w:val="24"/>
          <w:szCs w:val="24"/>
        </w:rPr>
        <w:t xml:space="preserve"> (early online). </w:t>
      </w:r>
    </w:p>
    <w:p w14:paraId="2FB307BF"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Flynn, D. (2005). New borders, new management: The dilemmas of modern immigration policies. </w:t>
      </w:r>
      <w:r w:rsidRPr="008B66EC">
        <w:rPr>
          <w:rFonts w:ascii="Times New Roman" w:hAnsi="Times New Roman" w:cs="Times New Roman"/>
          <w:i/>
          <w:iCs/>
          <w:sz w:val="24"/>
          <w:szCs w:val="24"/>
        </w:rPr>
        <w:t>Ethnic and Racial Studies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28</w:t>
      </w:r>
      <w:r w:rsidRPr="008B66EC">
        <w:rPr>
          <w:rFonts w:ascii="Times New Roman" w:hAnsi="Times New Roman" w:cs="Times New Roman"/>
          <w:sz w:val="24"/>
          <w:szCs w:val="24"/>
        </w:rPr>
        <w:t xml:space="preserve">(3), 463–490. </w:t>
      </w:r>
    </w:p>
    <w:p w14:paraId="023CEBA7"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Gentleman, A. (2019). </w:t>
      </w:r>
      <w:r w:rsidRPr="008B66EC">
        <w:rPr>
          <w:rFonts w:ascii="Times New Roman" w:hAnsi="Times New Roman" w:cs="Times New Roman"/>
          <w:i/>
          <w:iCs/>
          <w:sz w:val="24"/>
          <w:szCs w:val="24"/>
        </w:rPr>
        <w:t>The Windrush Betrayal: Exposing the Hostile Environment</w:t>
      </w:r>
      <w:r w:rsidRPr="008B66EC">
        <w:rPr>
          <w:rFonts w:ascii="Times New Roman" w:hAnsi="Times New Roman" w:cs="Times New Roman"/>
          <w:sz w:val="24"/>
          <w:szCs w:val="24"/>
        </w:rPr>
        <w:t>. Guardian Books.</w:t>
      </w:r>
    </w:p>
    <w:p w14:paraId="76292128"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Gilroy, P. (2012). ‘My Britain is fuck all:’ zombie multiculturalism and the race politics of citizenship. </w:t>
      </w:r>
      <w:r w:rsidRPr="008B66EC">
        <w:rPr>
          <w:rFonts w:ascii="Times New Roman" w:hAnsi="Times New Roman" w:cs="Times New Roman"/>
          <w:i/>
          <w:iCs/>
          <w:sz w:val="24"/>
          <w:szCs w:val="24"/>
        </w:rPr>
        <w:t>Identities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19</w:t>
      </w:r>
      <w:r w:rsidRPr="008B66EC">
        <w:rPr>
          <w:rFonts w:ascii="Times New Roman" w:hAnsi="Times New Roman" w:cs="Times New Roman"/>
          <w:sz w:val="24"/>
          <w:szCs w:val="24"/>
        </w:rPr>
        <w:t xml:space="preserve">(4), 380–397. </w:t>
      </w:r>
    </w:p>
    <w:p w14:paraId="22EA0448"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Goodfellow, M. (2019). </w:t>
      </w:r>
      <w:r w:rsidRPr="008B66EC">
        <w:rPr>
          <w:rFonts w:ascii="Times New Roman" w:hAnsi="Times New Roman" w:cs="Times New Roman"/>
          <w:i/>
          <w:iCs/>
          <w:sz w:val="24"/>
          <w:szCs w:val="24"/>
        </w:rPr>
        <w:t>Hostile Environment: How Immigrants Became Scapegoats</w:t>
      </w:r>
      <w:r w:rsidRPr="008B66EC">
        <w:rPr>
          <w:rFonts w:ascii="Times New Roman" w:hAnsi="Times New Roman" w:cs="Times New Roman"/>
          <w:sz w:val="24"/>
          <w:szCs w:val="24"/>
        </w:rPr>
        <w:t>. Verso.</w:t>
      </w:r>
    </w:p>
    <w:p w14:paraId="06B2F53B"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Griffith, J. (2018, October 4). </w:t>
      </w:r>
      <w:r w:rsidRPr="008B66EC">
        <w:rPr>
          <w:rFonts w:ascii="Times New Roman" w:hAnsi="Times New Roman" w:cs="Times New Roman"/>
          <w:i/>
          <w:iCs/>
          <w:sz w:val="24"/>
          <w:szCs w:val="24"/>
        </w:rPr>
        <w:t>Perspectives on the Windrush generation scandal: An interview with Judy Griffith</w:t>
      </w:r>
      <w:r w:rsidRPr="008B66EC">
        <w:rPr>
          <w:rFonts w:ascii="Times New Roman" w:hAnsi="Times New Roman" w:cs="Times New Roman"/>
          <w:sz w:val="24"/>
          <w:szCs w:val="24"/>
        </w:rPr>
        <w:t xml:space="preserve">. The British Library. </w:t>
      </w:r>
      <w:r w:rsidRPr="008B66EC">
        <w:rPr>
          <w:rFonts w:ascii="Times New Roman" w:hAnsi="Times New Roman" w:cs="Times New Roman"/>
          <w:sz w:val="24"/>
          <w:szCs w:val="24"/>
        </w:rPr>
        <w:lastRenderedPageBreak/>
        <w:t>https://www.bl.uk/windrush/articles/perspectives-on-the-windrush-generation-scandal-an-interview-with-judy-griffith</w:t>
      </w:r>
    </w:p>
    <w:p w14:paraId="1A769F52"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Hampshire, J. (2005). </w:t>
      </w:r>
      <w:r w:rsidRPr="008B66EC">
        <w:rPr>
          <w:rFonts w:ascii="Times New Roman" w:hAnsi="Times New Roman" w:cs="Times New Roman"/>
          <w:i/>
          <w:iCs/>
          <w:sz w:val="24"/>
          <w:szCs w:val="24"/>
        </w:rPr>
        <w:t>Citizenship and Belonging: Immigration and the Politics of Demographic Governance in Postwar Britain</w:t>
      </w:r>
      <w:r w:rsidRPr="008B66EC">
        <w:rPr>
          <w:rFonts w:ascii="Times New Roman" w:hAnsi="Times New Roman" w:cs="Times New Roman"/>
          <w:sz w:val="24"/>
          <w:szCs w:val="24"/>
        </w:rPr>
        <w:t>. Palgrave Macmillan.</w:t>
      </w:r>
    </w:p>
    <w:p w14:paraId="53CAB9D2"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Hansen, R. (2000). </w:t>
      </w:r>
      <w:r w:rsidRPr="008B66EC">
        <w:rPr>
          <w:rFonts w:ascii="Times New Roman" w:hAnsi="Times New Roman" w:cs="Times New Roman"/>
          <w:i/>
          <w:iCs/>
          <w:sz w:val="24"/>
          <w:szCs w:val="24"/>
        </w:rPr>
        <w:t>Citizenship and Immigration in Post-war Britain: The Institutional Origins of a Multicultural Nation</w:t>
      </w:r>
      <w:r w:rsidRPr="008B66EC">
        <w:rPr>
          <w:rFonts w:ascii="Times New Roman" w:hAnsi="Times New Roman" w:cs="Times New Roman"/>
          <w:sz w:val="24"/>
          <w:szCs w:val="24"/>
        </w:rPr>
        <w:t>. Oxford University Press.</w:t>
      </w:r>
    </w:p>
    <w:p w14:paraId="23478D80"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Hoppe, R. (2011). </w:t>
      </w:r>
      <w:r w:rsidRPr="008B66EC">
        <w:rPr>
          <w:rFonts w:ascii="Times New Roman" w:hAnsi="Times New Roman" w:cs="Times New Roman"/>
          <w:i/>
          <w:iCs/>
          <w:sz w:val="24"/>
          <w:szCs w:val="24"/>
        </w:rPr>
        <w:t>The Governance of Problems: Puzzling, Powering and Participation</w:t>
      </w:r>
      <w:r w:rsidRPr="008B66EC">
        <w:rPr>
          <w:rFonts w:ascii="Times New Roman" w:hAnsi="Times New Roman" w:cs="Times New Roman"/>
          <w:sz w:val="24"/>
          <w:szCs w:val="24"/>
        </w:rPr>
        <w:t>. Policy Press.</w:t>
      </w:r>
    </w:p>
    <w:p w14:paraId="0B0C23AC"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i/>
          <w:iCs/>
          <w:sz w:val="24"/>
          <w:szCs w:val="24"/>
        </w:rPr>
        <w:t>Immigration from the Commonwealth</w:t>
      </w:r>
      <w:r w:rsidRPr="008B66EC">
        <w:rPr>
          <w:rFonts w:ascii="Times New Roman" w:hAnsi="Times New Roman" w:cs="Times New Roman"/>
          <w:sz w:val="24"/>
          <w:szCs w:val="24"/>
        </w:rPr>
        <w:t xml:space="preserve"> (White Paper Cmnd. 2739). (1965). HMSO.</w:t>
      </w:r>
    </w:p>
    <w:p w14:paraId="6BC12B7D"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Oliver, C. (2020). Irrational rationalities and governmentality-effected neglect in immigration practice: Legal migrants’ entitlements to services and benefits in the United Kingdom. </w:t>
      </w:r>
      <w:r w:rsidRPr="008B66EC">
        <w:rPr>
          <w:rFonts w:ascii="Times New Roman" w:hAnsi="Times New Roman" w:cs="Times New Roman"/>
          <w:i/>
          <w:iCs/>
          <w:sz w:val="24"/>
          <w:szCs w:val="24"/>
        </w:rPr>
        <w:t>The British Journal of Sociology</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71</w:t>
      </w:r>
      <w:r w:rsidRPr="008B66EC">
        <w:rPr>
          <w:rFonts w:ascii="Times New Roman" w:hAnsi="Times New Roman" w:cs="Times New Roman"/>
          <w:sz w:val="24"/>
          <w:szCs w:val="24"/>
        </w:rPr>
        <w:t xml:space="preserve">(1), 96–111. </w:t>
      </w:r>
    </w:p>
    <w:p w14:paraId="6CAE487A"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Olusoga, D. (2019, June 24). </w:t>
      </w:r>
      <w:r w:rsidRPr="008B66EC">
        <w:rPr>
          <w:rFonts w:ascii="Times New Roman" w:hAnsi="Times New Roman" w:cs="Times New Roman"/>
          <w:i/>
          <w:iCs/>
          <w:sz w:val="24"/>
          <w:szCs w:val="24"/>
        </w:rPr>
        <w:t>The Unwanted: The Secret Windrush Files</w:t>
      </w:r>
      <w:r w:rsidRPr="008B66EC">
        <w:rPr>
          <w:rFonts w:ascii="Times New Roman" w:hAnsi="Times New Roman" w:cs="Times New Roman"/>
          <w:sz w:val="24"/>
          <w:szCs w:val="24"/>
        </w:rPr>
        <w:t>. BBC2.</w:t>
      </w:r>
    </w:p>
    <w:p w14:paraId="751F6A13"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Peplow, S. (2019). ‘In 1997 Nobody Had Heard of Windrush’: The Rise of the ‘Windrush Narrative’ in British Newspapers. </w:t>
      </w:r>
      <w:r w:rsidRPr="008B66EC">
        <w:rPr>
          <w:rFonts w:ascii="Times New Roman" w:hAnsi="Times New Roman" w:cs="Times New Roman"/>
          <w:i/>
          <w:iCs/>
          <w:sz w:val="24"/>
          <w:szCs w:val="24"/>
        </w:rPr>
        <w:t>Immigrants &amp; Minorities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37</w:t>
      </w:r>
      <w:r w:rsidRPr="008B66EC">
        <w:rPr>
          <w:rFonts w:ascii="Times New Roman" w:hAnsi="Times New Roman" w:cs="Times New Roman"/>
          <w:sz w:val="24"/>
          <w:szCs w:val="24"/>
        </w:rPr>
        <w:t xml:space="preserve">(3), 211–237. </w:t>
      </w:r>
    </w:p>
    <w:p w14:paraId="5135618C"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Phoenix, A. (1998). Multicultures’,‘multiracisms’ and young people: Contradictory legacies of ‘Windrush.’ </w:t>
      </w:r>
      <w:r w:rsidRPr="008B66EC">
        <w:rPr>
          <w:rFonts w:ascii="Times New Roman" w:hAnsi="Times New Roman" w:cs="Times New Roman"/>
          <w:i/>
          <w:iCs/>
          <w:sz w:val="24"/>
          <w:szCs w:val="24"/>
        </w:rPr>
        <w:t>Soundings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10</w:t>
      </w:r>
      <w:r w:rsidRPr="008B66EC">
        <w:rPr>
          <w:rFonts w:ascii="Times New Roman" w:hAnsi="Times New Roman" w:cs="Times New Roman"/>
          <w:sz w:val="24"/>
          <w:szCs w:val="24"/>
        </w:rPr>
        <w:t>, 86–96.</w:t>
      </w:r>
    </w:p>
    <w:p w14:paraId="07EC2170"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Robinson, C. (2017). Tracing and explaining securitization: Social mechanisms, process tracing and the securitization of irregular migration. </w:t>
      </w:r>
      <w:r w:rsidRPr="008B66EC">
        <w:rPr>
          <w:rFonts w:ascii="Times New Roman" w:hAnsi="Times New Roman" w:cs="Times New Roman"/>
          <w:i/>
          <w:iCs/>
          <w:sz w:val="24"/>
          <w:szCs w:val="24"/>
        </w:rPr>
        <w:t>Security Dialogue</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48</w:t>
      </w:r>
      <w:r w:rsidRPr="008B66EC">
        <w:rPr>
          <w:rFonts w:ascii="Times New Roman" w:hAnsi="Times New Roman" w:cs="Times New Roman"/>
          <w:sz w:val="24"/>
          <w:szCs w:val="24"/>
        </w:rPr>
        <w:t xml:space="preserve">(6), 505–523. </w:t>
      </w:r>
    </w:p>
    <w:p w14:paraId="08CB768B"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Sales, R. (2002). The deserving and the undeserving? Refugees, asylum seekers and welfare in Britain. </w:t>
      </w:r>
      <w:r w:rsidRPr="008B66EC">
        <w:rPr>
          <w:rFonts w:ascii="Times New Roman" w:hAnsi="Times New Roman" w:cs="Times New Roman"/>
          <w:i/>
          <w:iCs/>
          <w:sz w:val="24"/>
          <w:szCs w:val="24"/>
        </w:rPr>
        <w:t>Critical Social Policy</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22</w:t>
      </w:r>
      <w:r w:rsidRPr="008B66EC">
        <w:rPr>
          <w:rFonts w:ascii="Times New Roman" w:hAnsi="Times New Roman" w:cs="Times New Roman"/>
          <w:sz w:val="24"/>
          <w:szCs w:val="24"/>
        </w:rPr>
        <w:t>(3), 456–478.</w:t>
      </w:r>
    </w:p>
    <w:p w14:paraId="008F7676"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Schmidt, V. A. (2008). Discursive Institutionalism: The Explanatory Power of Ideas and Discourse. </w:t>
      </w:r>
      <w:r w:rsidRPr="008B66EC">
        <w:rPr>
          <w:rFonts w:ascii="Times New Roman" w:hAnsi="Times New Roman" w:cs="Times New Roman"/>
          <w:i/>
          <w:iCs/>
          <w:sz w:val="24"/>
          <w:szCs w:val="24"/>
        </w:rPr>
        <w:t>Annual Review of Political Science</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11</w:t>
      </w:r>
      <w:r w:rsidRPr="008B66EC">
        <w:rPr>
          <w:rFonts w:ascii="Times New Roman" w:hAnsi="Times New Roman" w:cs="Times New Roman"/>
          <w:sz w:val="24"/>
          <w:szCs w:val="24"/>
        </w:rPr>
        <w:t xml:space="preserve">(1), 303–326. </w:t>
      </w:r>
    </w:p>
    <w:p w14:paraId="1AC036AE"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lastRenderedPageBreak/>
        <w:t xml:space="preserve">Shankley, W., &amp; Rhodes, J. (2020). Racisms in contemporary Britain. In B. Byrne, C. Alexander, O. Khan, J. Nazroo, &amp; W. Shankley (Eds.), </w:t>
      </w:r>
      <w:r w:rsidRPr="008B66EC">
        <w:rPr>
          <w:rFonts w:ascii="Times New Roman" w:hAnsi="Times New Roman" w:cs="Times New Roman"/>
          <w:i/>
          <w:iCs/>
          <w:sz w:val="24"/>
          <w:szCs w:val="24"/>
        </w:rPr>
        <w:t>Ethnicity and Race, and Inequality in the UK: State of the Nation.</w:t>
      </w:r>
      <w:r w:rsidRPr="008B66EC">
        <w:rPr>
          <w:rFonts w:ascii="Times New Roman" w:hAnsi="Times New Roman" w:cs="Times New Roman"/>
          <w:sz w:val="24"/>
          <w:szCs w:val="24"/>
        </w:rPr>
        <w:t xml:space="preserve"> (pp. 203–228). Policy Press.</w:t>
      </w:r>
    </w:p>
    <w:p w14:paraId="5AFE7253"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Shearmur, Y. (2021). </w:t>
      </w:r>
      <w:r w:rsidRPr="008B66EC">
        <w:rPr>
          <w:rFonts w:ascii="Times New Roman" w:hAnsi="Times New Roman" w:cs="Times New Roman"/>
          <w:i/>
          <w:iCs/>
          <w:sz w:val="24"/>
          <w:szCs w:val="24"/>
        </w:rPr>
        <w:t>British immigration policymaking and European integration, 1973-1990</w:t>
      </w:r>
      <w:r w:rsidRPr="008B66EC">
        <w:rPr>
          <w:rFonts w:ascii="Times New Roman" w:hAnsi="Times New Roman" w:cs="Times New Roman"/>
          <w:sz w:val="24"/>
          <w:szCs w:val="24"/>
        </w:rPr>
        <w:t>. Phd, University of Cambridge.</w:t>
      </w:r>
    </w:p>
    <w:p w14:paraId="6E74B992"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Slaven, M., &amp; Boswell, C. (2019). Why symbolise control? Irregular migration to the UK and symbolic policy-making in the 1960s. </w:t>
      </w:r>
      <w:r w:rsidRPr="008B66EC">
        <w:rPr>
          <w:rFonts w:ascii="Times New Roman" w:hAnsi="Times New Roman" w:cs="Times New Roman"/>
          <w:i/>
          <w:iCs/>
          <w:sz w:val="24"/>
          <w:szCs w:val="24"/>
        </w:rPr>
        <w:t>Journal of Ethnic and Migration Studies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45</w:t>
      </w:r>
      <w:r w:rsidRPr="008B66EC">
        <w:rPr>
          <w:rFonts w:ascii="Times New Roman" w:hAnsi="Times New Roman" w:cs="Times New Roman"/>
          <w:sz w:val="24"/>
          <w:szCs w:val="24"/>
        </w:rPr>
        <w:t>(9), 1477–1495.</w:t>
      </w:r>
    </w:p>
    <w:p w14:paraId="0F000F47"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Slaven, M., Casella Colombeau, S., &amp; Badenhoop, E. (2021). What Drives the Immigration-Welfare Policy Link? Comparing Germany, France and the United Kingdom. </w:t>
      </w:r>
      <w:r w:rsidRPr="008B66EC">
        <w:rPr>
          <w:rFonts w:ascii="Times New Roman" w:hAnsi="Times New Roman" w:cs="Times New Roman"/>
          <w:i/>
          <w:iCs/>
          <w:sz w:val="24"/>
          <w:szCs w:val="24"/>
        </w:rPr>
        <w:t>Comparative Political Studies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54</w:t>
      </w:r>
      <w:r w:rsidRPr="008B66EC">
        <w:rPr>
          <w:rFonts w:ascii="Times New Roman" w:hAnsi="Times New Roman" w:cs="Times New Roman"/>
          <w:sz w:val="24"/>
          <w:szCs w:val="24"/>
        </w:rPr>
        <w:t xml:space="preserve">(5), 855–888. </w:t>
      </w:r>
    </w:p>
    <w:p w14:paraId="1056C660"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Small, S., &amp; Solomos, J. (2006). Race, Immigration and Politics in Britain: Changing Policy Agendas and Conceptual Paradigms 1940s–2000s. </w:t>
      </w:r>
      <w:r w:rsidRPr="008B66EC">
        <w:rPr>
          <w:rFonts w:ascii="Times New Roman" w:hAnsi="Times New Roman" w:cs="Times New Roman"/>
          <w:i/>
          <w:iCs/>
          <w:sz w:val="24"/>
          <w:szCs w:val="24"/>
        </w:rPr>
        <w:t>International Journal of Comparative Sociology</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47</w:t>
      </w:r>
      <w:r w:rsidRPr="008B66EC">
        <w:rPr>
          <w:rFonts w:ascii="Times New Roman" w:hAnsi="Times New Roman" w:cs="Times New Roman"/>
          <w:sz w:val="24"/>
          <w:szCs w:val="24"/>
        </w:rPr>
        <w:t xml:space="preserve">(3–4), 235–257. </w:t>
      </w:r>
    </w:p>
    <w:p w14:paraId="6C051176"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Solomos, J. (1993). </w:t>
      </w:r>
      <w:r w:rsidRPr="008B66EC">
        <w:rPr>
          <w:rFonts w:ascii="Times New Roman" w:hAnsi="Times New Roman" w:cs="Times New Roman"/>
          <w:i/>
          <w:iCs/>
          <w:sz w:val="24"/>
          <w:szCs w:val="24"/>
        </w:rPr>
        <w:t>Race and Racism in Britain</w:t>
      </w:r>
      <w:r w:rsidRPr="008B66EC">
        <w:rPr>
          <w:rFonts w:ascii="Times New Roman" w:hAnsi="Times New Roman" w:cs="Times New Roman"/>
          <w:sz w:val="24"/>
          <w:szCs w:val="24"/>
        </w:rPr>
        <w:t>. Macmillan International Higher Education.</w:t>
      </w:r>
    </w:p>
    <w:p w14:paraId="197BCBBD"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Spencer, S. (2005). The impact of immigration policy on race relations. In T. Blackstone, B. Parekh, &amp; P. Sanders (Eds.), </w:t>
      </w:r>
      <w:r w:rsidRPr="008B66EC">
        <w:rPr>
          <w:rFonts w:ascii="Times New Roman" w:hAnsi="Times New Roman" w:cs="Times New Roman"/>
          <w:i/>
          <w:iCs/>
          <w:sz w:val="24"/>
          <w:szCs w:val="24"/>
        </w:rPr>
        <w:t>Race Relations in Britain: A Developing Agenda</w:t>
      </w:r>
      <w:r w:rsidRPr="008B66EC">
        <w:rPr>
          <w:rFonts w:ascii="Times New Roman" w:hAnsi="Times New Roman" w:cs="Times New Roman"/>
          <w:sz w:val="24"/>
          <w:szCs w:val="24"/>
        </w:rPr>
        <w:t xml:space="preserve"> (2nd ed., pp. 74–95). Routledge.</w:t>
      </w:r>
    </w:p>
    <w:p w14:paraId="3D43CC7B"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Tuckett, A. (2019). Managing paper trails after Windrush: Migration, documents and bureaucracy. </w:t>
      </w:r>
      <w:r w:rsidRPr="008B66EC">
        <w:rPr>
          <w:rFonts w:ascii="Times New Roman" w:hAnsi="Times New Roman" w:cs="Times New Roman"/>
          <w:i/>
          <w:iCs/>
          <w:sz w:val="24"/>
          <w:szCs w:val="24"/>
        </w:rPr>
        <w:t>Journal of Legal Anthropology</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3</w:t>
      </w:r>
      <w:r w:rsidRPr="008B66EC">
        <w:rPr>
          <w:rFonts w:ascii="Times New Roman" w:hAnsi="Times New Roman" w:cs="Times New Roman"/>
          <w:sz w:val="24"/>
          <w:szCs w:val="24"/>
        </w:rPr>
        <w:t xml:space="preserve">(2), 120–123. </w:t>
      </w:r>
    </w:p>
    <w:p w14:paraId="6D0854B6"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Wardle, H., &amp; Obermuller, L. (2019). “Windrush Generation” and “Hostile Environment”: Symbols and Lived Experiences in Caribbean Migration to the UK. </w:t>
      </w:r>
      <w:r w:rsidRPr="008B66EC">
        <w:rPr>
          <w:rFonts w:ascii="Times New Roman" w:hAnsi="Times New Roman" w:cs="Times New Roman"/>
          <w:i/>
          <w:iCs/>
          <w:sz w:val="24"/>
          <w:szCs w:val="24"/>
        </w:rPr>
        <w:t>Migration and Society</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2</w:t>
      </w:r>
      <w:r w:rsidRPr="008B66EC">
        <w:rPr>
          <w:rFonts w:ascii="Times New Roman" w:hAnsi="Times New Roman" w:cs="Times New Roman"/>
          <w:sz w:val="24"/>
          <w:szCs w:val="24"/>
        </w:rPr>
        <w:t xml:space="preserve">(1), 81–89. </w:t>
      </w:r>
    </w:p>
    <w:p w14:paraId="73A6B5A3"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Weldes, J. (1996). Constructing National Interests. </w:t>
      </w:r>
      <w:r w:rsidRPr="008B66EC">
        <w:rPr>
          <w:rFonts w:ascii="Times New Roman" w:hAnsi="Times New Roman" w:cs="Times New Roman"/>
          <w:i/>
          <w:iCs/>
          <w:sz w:val="24"/>
          <w:szCs w:val="24"/>
        </w:rPr>
        <w:t>European Journal of International Relations</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2</w:t>
      </w:r>
      <w:r w:rsidRPr="008B66EC">
        <w:rPr>
          <w:rFonts w:ascii="Times New Roman" w:hAnsi="Times New Roman" w:cs="Times New Roman"/>
          <w:sz w:val="24"/>
          <w:szCs w:val="24"/>
        </w:rPr>
        <w:t xml:space="preserve">(3), 275–318. </w:t>
      </w:r>
    </w:p>
    <w:p w14:paraId="5D93213A"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lastRenderedPageBreak/>
        <w:t xml:space="preserve">Williams, C. (2015). Patriality, Work Permits and the European Economic Community: The Introduction of the 1971 Immigration Act. </w:t>
      </w:r>
      <w:r w:rsidRPr="008B66EC">
        <w:rPr>
          <w:rFonts w:ascii="Times New Roman" w:hAnsi="Times New Roman" w:cs="Times New Roman"/>
          <w:i/>
          <w:iCs/>
          <w:sz w:val="24"/>
          <w:szCs w:val="24"/>
        </w:rPr>
        <w:t>Contemporary British History</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29</w:t>
      </w:r>
      <w:r w:rsidRPr="008B66EC">
        <w:rPr>
          <w:rFonts w:ascii="Times New Roman" w:hAnsi="Times New Roman" w:cs="Times New Roman"/>
          <w:sz w:val="24"/>
          <w:szCs w:val="24"/>
        </w:rPr>
        <w:t xml:space="preserve">(4), 508–538. </w:t>
      </w:r>
    </w:p>
    <w:p w14:paraId="706EA760"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Williams, W. (2020). </w:t>
      </w:r>
      <w:r w:rsidRPr="008B66EC">
        <w:rPr>
          <w:rFonts w:ascii="Times New Roman" w:hAnsi="Times New Roman" w:cs="Times New Roman"/>
          <w:i/>
          <w:iCs/>
          <w:sz w:val="24"/>
          <w:szCs w:val="24"/>
        </w:rPr>
        <w:t>Windrush Lessons Learned Review</w:t>
      </w:r>
      <w:r w:rsidRPr="008B66EC">
        <w:rPr>
          <w:rFonts w:ascii="Times New Roman" w:hAnsi="Times New Roman" w:cs="Times New Roman"/>
          <w:sz w:val="24"/>
          <w:szCs w:val="24"/>
        </w:rPr>
        <w:t>. Home Office.</w:t>
      </w:r>
    </w:p>
    <w:p w14:paraId="601810FF"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Yuval-Davis, N., Wemyss, G., &amp; Cassidy, K. (2018). Everyday Bordering, Belonging and the Reorientation of British Immigration Legislation. </w:t>
      </w:r>
      <w:r w:rsidRPr="008B66EC">
        <w:rPr>
          <w:rFonts w:ascii="Times New Roman" w:hAnsi="Times New Roman" w:cs="Times New Roman"/>
          <w:i/>
          <w:iCs/>
          <w:sz w:val="24"/>
          <w:szCs w:val="24"/>
        </w:rPr>
        <w:t>Sociology</w:t>
      </w:r>
      <w:r w:rsidRPr="008B66EC">
        <w:rPr>
          <w:rFonts w:ascii="Times New Roman" w:hAnsi="Times New Roman" w:cs="Times New Roman"/>
          <w:sz w:val="24"/>
          <w:szCs w:val="24"/>
        </w:rPr>
        <w:t xml:space="preserve">, </w:t>
      </w:r>
      <w:r w:rsidRPr="008B66EC">
        <w:rPr>
          <w:rFonts w:ascii="Times New Roman" w:hAnsi="Times New Roman" w:cs="Times New Roman"/>
          <w:i/>
          <w:iCs/>
          <w:sz w:val="24"/>
          <w:szCs w:val="24"/>
        </w:rPr>
        <w:t>52</w:t>
      </w:r>
      <w:r w:rsidRPr="008B66EC">
        <w:rPr>
          <w:rFonts w:ascii="Times New Roman" w:hAnsi="Times New Roman" w:cs="Times New Roman"/>
          <w:sz w:val="24"/>
          <w:szCs w:val="24"/>
        </w:rPr>
        <w:t xml:space="preserve">(2), 228–244. </w:t>
      </w:r>
    </w:p>
    <w:p w14:paraId="1651020C" w14:textId="77777777" w:rsidR="00775EC9" w:rsidRPr="008B66EC" w:rsidRDefault="00775EC9" w:rsidP="00775EC9">
      <w:pPr>
        <w:pStyle w:val="Bibliography"/>
        <w:rPr>
          <w:rFonts w:ascii="Times New Roman" w:hAnsi="Times New Roman" w:cs="Times New Roman"/>
          <w:sz w:val="24"/>
          <w:szCs w:val="24"/>
        </w:rPr>
      </w:pPr>
      <w:r w:rsidRPr="008B66EC">
        <w:rPr>
          <w:rFonts w:ascii="Times New Roman" w:hAnsi="Times New Roman" w:cs="Times New Roman"/>
          <w:sz w:val="24"/>
          <w:szCs w:val="24"/>
        </w:rPr>
        <w:t xml:space="preserve">Yuval-Davis, N., Wemyss, G., &amp; Cassidy, K. (2019). </w:t>
      </w:r>
      <w:r w:rsidRPr="008B66EC">
        <w:rPr>
          <w:rFonts w:ascii="Times New Roman" w:hAnsi="Times New Roman" w:cs="Times New Roman"/>
          <w:i/>
          <w:iCs/>
          <w:sz w:val="24"/>
          <w:szCs w:val="24"/>
        </w:rPr>
        <w:t>Bordering</w:t>
      </w:r>
      <w:r w:rsidRPr="008B66EC">
        <w:rPr>
          <w:rFonts w:ascii="Times New Roman" w:hAnsi="Times New Roman" w:cs="Times New Roman"/>
          <w:sz w:val="24"/>
          <w:szCs w:val="24"/>
        </w:rPr>
        <w:t>. Polity.</w:t>
      </w:r>
    </w:p>
    <w:p w14:paraId="3CC8400E" w14:textId="77777777" w:rsidR="00775EC9" w:rsidRPr="00884828" w:rsidRDefault="00775EC9" w:rsidP="00775EC9">
      <w:pPr>
        <w:spacing w:line="480" w:lineRule="auto"/>
        <w:rPr>
          <w:rFonts w:ascii="Times New Roman" w:hAnsi="Times New Roman" w:cs="Times New Roman"/>
          <w:sz w:val="24"/>
          <w:szCs w:val="24"/>
        </w:rPr>
      </w:pPr>
      <w:r w:rsidRPr="008B66EC">
        <w:rPr>
          <w:rFonts w:ascii="Times New Roman" w:hAnsi="Times New Roman" w:cs="Times New Roman"/>
          <w:sz w:val="24"/>
          <w:szCs w:val="24"/>
        </w:rPr>
        <w:fldChar w:fldCharType="end"/>
      </w:r>
    </w:p>
    <w:p w14:paraId="2BF7C484" w14:textId="77777777" w:rsidR="004A0D9C" w:rsidRDefault="004A0D9C"/>
    <w:sectPr w:rsidR="004A0D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2A8"/>
    <w:rsid w:val="0005424E"/>
    <w:rsid w:val="00122731"/>
    <w:rsid w:val="003B5438"/>
    <w:rsid w:val="004A0D9C"/>
    <w:rsid w:val="005265A6"/>
    <w:rsid w:val="00591C59"/>
    <w:rsid w:val="005E59E8"/>
    <w:rsid w:val="006A42A8"/>
    <w:rsid w:val="00775EC9"/>
    <w:rsid w:val="00AE7184"/>
    <w:rsid w:val="00CE6F22"/>
    <w:rsid w:val="00ED22B0"/>
    <w:rsid w:val="00F64ADC"/>
    <w:rsid w:val="00F921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97FAB"/>
  <w15:chartTrackingRefBased/>
  <w15:docId w15:val="{C04742FB-3711-4673-9AEE-4DE82520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2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names">
    <w:name w:val="Author names"/>
    <w:basedOn w:val="Normal"/>
    <w:next w:val="Normal"/>
    <w:qFormat/>
    <w:rsid w:val="006A42A8"/>
    <w:pPr>
      <w:spacing w:before="240" w:after="0" w:line="360" w:lineRule="auto"/>
    </w:pPr>
    <w:rPr>
      <w:rFonts w:ascii="Times New Roman" w:eastAsia="Times New Roman" w:hAnsi="Times New Roman" w:cs="Times New Roman"/>
      <w:sz w:val="28"/>
      <w:szCs w:val="24"/>
      <w:lang w:eastAsia="en-GB"/>
    </w:rPr>
  </w:style>
  <w:style w:type="paragraph" w:customStyle="1" w:styleId="Affiliation">
    <w:name w:val="Affiliation"/>
    <w:basedOn w:val="Normal"/>
    <w:qFormat/>
    <w:rsid w:val="006A42A8"/>
    <w:pPr>
      <w:spacing w:before="240" w:after="0" w:line="360" w:lineRule="auto"/>
    </w:pPr>
    <w:rPr>
      <w:rFonts w:ascii="Times New Roman" w:eastAsia="Times New Roman" w:hAnsi="Times New Roman" w:cs="Times New Roman"/>
      <w:i/>
      <w:sz w:val="24"/>
      <w:szCs w:val="24"/>
      <w:lang w:eastAsia="en-GB"/>
    </w:rPr>
  </w:style>
  <w:style w:type="paragraph" w:customStyle="1" w:styleId="Correspondencedetails">
    <w:name w:val="Correspondence details"/>
    <w:basedOn w:val="Normal"/>
    <w:qFormat/>
    <w:rsid w:val="006A42A8"/>
    <w:pPr>
      <w:spacing w:before="240" w:after="0" w:line="360" w:lineRule="auto"/>
    </w:pPr>
    <w:rPr>
      <w:rFonts w:ascii="Times New Roman" w:eastAsia="Times New Roman" w:hAnsi="Times New Roman" w:cs="Times New Roman"/>
      <w:sz w:val="24"/>
      <w:szCs w:val="24"/>
      <w:lang w:eastAsia="en-GB"/>
    </w:rPr>
  </w:style>
  <w:style w:type="paragraph" w:customStyle="1" w:styleId="Notesoncontributors">
    <w:name w:val="Notes on contributors"/>
    <w:basedOn w:val="Normal"/>
    <w:qFormat/>
    <w:rsid w:val="006A42A8"/>
    <w:pPr>
      <w:spacing w:before="240" w:after="0" w:line="360" w:lineRule="auto"/>
    </w:pPr>
    <w:rPr>
      <w:rFonts w:ascii="Times New Roman" w:eastAsia="Times New Roman" w:hAnsi="Times New Roman" w:cs="Times New Roman"/>
      <w:szCs w:val="24"/>
      <w:lang w:eastAsia="en-GB"/>
    </w:rPr>
  </w:style>
  <w:style w:type="paragraph" w:styleId="Bibliography">
    <w:name w:val="Bibliography"/>
    <w:basedOn w:val="Normal"/>
    <w:next w:val="Normal"/>
    <w:uiPriority w:val="37"/>
    <w:unhideWhenUsed/>
    <w:rsid w:val="00775EC9"/>
    <w:pPr>
      <w:spacing w:after="0" w:line="480" w:lineRule="auto"/>
      <w:ind w:left="720" w:hanging="720"/>
    </w:pPr>
  </w:style>
  <w:style w:type="character" w:styleId="Emphasis">
    <w:name w:val="Emphasis"/>
    <w:basedOn w:val="DefaultParagraphFont"/>
    <w:uiPriority w:val="20"/>
    <w:qFormat/>
    <w:rsid w:val="00775EC9"/>
    <w:rPr>
      <w:i/>
      <w:iCs/>
    </w:rPr>
  </w:style>
  <w:style w:type="paragraph" w:styleId="Header">
    <w:name w:val="header"/>
    <w:basedOn w:val="Normal"/>
    <w:link w:val="HeaderChar"/>
    <w:uiPriority w:val="99"/>
    <w:unhideWhenUsed/>
    <w:rsid w:val="00775E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5EC9"/>
  </w:style>
  <w:style w:type="paragraph" w:styleId="Footer">
    <w:name w:val="footer"/>
    <w:basedOn w:val="Normal"/>
    <w:link w:val="FooterChar"/>
    <w:uiPriority w:val="99"/>
    <w:unhideWhenUsed/>
    <w:rsid w:val="00775E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5EC9"/>
  </w:style>
  <w:style w:type="paragraph" w:customStyle="1" w:styleId="Abstract">
    <w:name w:val="Abstract"/>
    <w:basedOn w:val="Normal"/>
    <w:next w:val="Normal"/>
    <w:qFormat/>
    <w:rsid w:val="00775EC9"/>
    <w:pPr>
      <w:spacing w:before="360" w:after="300" w:line="360" w:lineRule="auto"/>
      <w:ind w:left="720" w:right="567"/>
    </w:pPr>
    <w:rPr>
      <w:rFonts w:ascii="Times New Roman" w:eastAsia="Times New Roman" w:hAnsi="Times New Roman" w:cs="Times New Roman"/>
      <w:szCs w:val="24"/>
      <w:lang w:eastAsia="en-GB"/>
    </w:rPr>
  </w:style>
  <w:style w:type="character" w:styleId="CommentReference">
    <w:name w:val="annotation reference"/>
    <w:basedOn w:val="DefaultParagraphFont"/>
    <w:uiPriority w:val="99"/>
    <w:semiHidden/>
    <w:unhideWhenUsed/>
    <w:rsid w:val="00775EC9"/>
    <w:rPr>
      <w:sz w:val="16"/>
      <w:szCs w:val="16"/>
    </w:rPr>
  </w:style>
  <w:style w:type="paragraph" w:styleId="CommentText">
    <w:name w:val="annotation text"/>
    <w:basedOn w:val="Normal"/>
    <w:link w:val="CommentTextChar"/>
    <w:uiPriority w:val="99"/>
    <w:semiHidden/>
    <w:unhideWhenUsed/>
    <w:rsid w:val="00775EC9"/>
    <w:pPr>
      <w:spacing w:line="240" w:lineRule="auto"/>
    </w:pPr>
    <w:rPr>
      <w:sz w:val="20"/>
      <w:szCs w:val="20"/>
    </w:rPr>
  </w:style>
  <w:style w:type="character" w:customStyle="1" w:styleId="CommentTextChar">
    <w:name w:val="Comment Text Char"/>
    <w:basedOn w:val="DefaultParagraphFont"/>
    <w:link w:val="CommentText"/>
    <w:uiPriority w:val="99"/>
    <w:semiHidden/>
    <w:rsid w:val="00775EC9"/>
    <w:rPr>
      <w:sz w:val="20"/>
      <w:szCs w:val="20"/>
    </w:rPr>
  </w:style>
  <w:style w:type="paragraph" w:styleId="CommentSubject">
    <w:name w:val="annotation subject"/>
    <w:basedOn w:val="CommentText"/>
    <w:next w:val="CommentText"/>
    <w:link w:val="CommentSubjectChar"/>
    <w:uiPriority w:val="99"/>
    <w:semiHidden/>
    <w:unhideWhenUsed/>
    <w:rsid w:val="00775EC9"/>
    <w:rPr>
      <w:b/>
      <w:bCs/>
    </w:rPr>
  </w:style>
  <w:style w:type="character" w:customStyle="1" w:styleId="CommentSubjectChar">
    <w:name w:val="Comment Subject Char"/>
    <w:basedOn w:val="CommentTextChar"/>
    <w:link w:val="CommentSubject"/>
    <w:uiPriority w:val="99"/>
    <w:semiHidden/>
    <w:rsid w:val="00775EC9"/>
    <w:rPr>
      <w:b/>
      <w:bCs/>
      <w:sz w:val="20"/>
      <w:szCs w:val="20"/>
    </w:rPr>
  </w:style>
  <w:style w:type="paragraph" w:styleId="Revision">
    <w:name w:val="Revision"/>
    <w:hidden/>
    <w:uiPriority w:val="99"/>
    <w:semiHidden/>
    <w:rsid w:val="00775EC9"/>
    <w:pPr>
      <w:spacing w:after="0" w:line="240" w:lineRule="auto"/>
    </w:pPr>
  </w:style>
  <w:style w:type="paragraph" w:customStyle="1" w:styleId="Default">
    <w:name w:val="Default"/>
    <w:rsid w:val="00775EC9"/>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DefaultParagraphFont"/>
    <w:uiPriority w:val="99"/>
    <w:unhideWhenUsed/>
    <w:rsid w:val="005E59E8"/>
    <w:rPr>
      <w:color w:val="0563C1" w:themeColor="hyperlink"/>
      <w:u w:val="single"/>
    </w:rPr>
  </w:style>
  <w:style w:type="character" w:styleId="UnresolvedMention">
    <w:name w:val="Unresolved Mention"/>
    <w:basedOn w:val="DefaultParagraphFont"/>
    <w:uiPriority w:val="99"/>
    <w:semiHidden/>
    <w:unhideWhenUsed/>
    <w:rsid w:val="005E59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orcid.org/0000-0001-8651-44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34</Pages>
  <Words>26901</Words>
  <Characters>153337</Characters>
  <Application>Microsoft Office Word</Application>
  <DocSecurity>0</DocSecurity>
  <Lines>1277</Lines>
  <Paragraphs>359</Paragraphs>
  <ScaleCrop>false</ScaleCrop>
  <Company/>
  <LinksUpToDate>false</LinksUpToDate>
  <CharactersWithSpaces>179879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Slaven</dc:creator>
  <cp:keywords/>
  <dc:description/>
  <cp:lastModifiedBy>Michael Slaven</cp:lastModifiedBy>
  <cp:revision>12</cp:revision>
  <dcterms:created xsi:type="dcterms:W3CDTF">2021-10-26T15:21:00Z</dcterms:created>
  <dcterms:modified xsi:type="dcterms:W3CDTF">2021-10-27T16:43:00Z</dcterms:modified>
</cp:coreProperties>
</file>